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widowControl/>
        <w:rPr>
          <w:rFonts w:eastAsia="黑体"/>
        </w:rPr>
      </w:pPr>
      <w:r>
        <w:rPr>
          <w:rFonts w:eastAsia="黑体"/>
        </w:rPr>
      </w:r>
      <w:r/>
    </w:p>
    <w:p>
      <w:pPr>
        <w:pStyle w:val="787"/>
        <w:widowControl/>
        <w:rPr>
          <w:rFonts w:asciiTheme="minorEastAsia" w:hAnsiTheme="minorEastAsia" w:eastAsiaTheme="minorEastAsia"/>
        </w:rPr>
      </w:pPr>
      <w:r>
        <w:rPr>
          <w:rFonts w:asciiTheme="minorEastAsia" w:hAnsiTheme="minorEastAsia" w:eastAsiaTheme="minorEastAsia"/>
        </w:rPr>
      </w:r>
      <w:r/>
    </w:p>
    <w:p>
      <w:pPr>
        <w:pStyle w:val="787"/>
        <w:widowControl/>
        <w:rPr>
          <w:rFonts w:asciiTheme="minorEastAsia" w:hAnsiTheme="minorEastAsia" w:eastAsiaTheme="minorEastAsia"/>
        </w:rPr>
      </w:pPr>
      <w:r>
        <w:rPr>
          <w:rFonts w:asciiTheme="minorEastAsia" w:hAnsiTheme="minorEastAsia" w:eastAsiaTheme="minorEastAsia"/>
        </w:rPr>
      </w:r>
      <w:r/>
    </w:p>
    <w:p>
      <w:pPr>
        <w:pStyle w:val="787"/>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787"/>
        <w:jc w:val="center"/>
        <w:spacing w:line="360" w:lineRule="auto"/>
        <w:rPr>
          <w:rFonts w:ascii="Arial" w:hAnsi="Arial" w:cs="Arial"/>
          <w:b/>
        </w:rPr>
      </w:pPr>
      <w:r>
        <w:rPr>
          <w:rFonts w:ascii="Arial" w:hAnsi="Arial" w:cs="Arial"/>
          <w:b/>
        </w:rPr>
      </w:r>
      <w:r/>
    </w:p>
    <w:p>
      <w:pPr>
        <w:pStyle w:val="787"/>
        <w:jc w:val="center"/>
        <w:spacing w:line="360" w:lineRule="auto"/>
        <w:rPr>
          <w:rFonts w:ascii="Arial" w:hAnsi="Arial" w:cs="Arial"/>
          <w:b/>
        </w:rPr>
      </w:pPr>
      <w:r>
        <w:rPr>
          <w:rFonts w:ascii="Arial" w:hAnsi="Arial" w:cs="Arial"/>
          <w:b/>
        </w:rPr>
      </w:r>
      <w:r/>
    </w:p>
    <w:p>
      <w:pPr>
        <w:pStyle w:val="787"/>
        <w:jc w:val="center"/>
        <w:rPr>
          <w:b/>
        </w:rPr>
      </w:pPr>
      <w:r>
        <w:rPr>
          <w:b/>
        </w:rPr>
      </w:r>
      <w:r/>
    </w:p>
    <w:p>
      <w:pPr>
        <w:pStyle w:val="787"/>
        <w:jc w:val="center"/>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项目编号：JSZC-320900-JZCG-G2025-0063</w:t>
      </w:r>
      <w:r/>
    </w:p>
    <w:p>
      <w:pPr>
        <w:pStyle w:val="787"/>
        <w:jc w:val="center"/>
        <w:spacing w:line="360" w:lineRule="auto"/>
        <w:rPr>
          <w:rFonts w:asciiTheme="minorEastAsia" w:hAnsiTheme="minorEastAsia" w:eastAsiaTheme="minorEastAsia" w:cstheme="minorEastAsia"/>
          <w:b/>
        </w:rPr>
        <w:outlineLvl w:val="0"/>
      </w:pPr>
      <w:r>
        <w:rPr>
          <w:rFonts w:asciiTheme="minorEastAsia" w:hAnsiTheme="minorEastAsia" w:eastAsiaTheme="minorEastAsia" w:cstheme="minorEastAsia"/>
          <w:b/>
        </w:rPr>
      </w:r>
      <w:r/>
    </w:p>
    <w:p>
      <w:pPr>
        <w:pStyle w:val="787"/>
        <w:jc w:val="center"/>
        <w:spacing w:line="360" w:lineRule="auto"/>
        <w:rPr>
          <w:rFonts w:asciiTheme="minorEastAsia" w:hAnsiTheme="minorEastAsia" w:eastAsiaTheme="minorEastAsia" w:cstheme="minorEastAsia"/>
        </w:rPr>
        <w:outlineLvl w:val="0"/>
      </w:pPr>
      <w:r>
        <w:rPr>
          <w:rFonts w:hint="eastAsia" w:asciiTheme="minorEastAsia" w:hAnsiTheme="minorEastAsia" w:eastAsiaTheme="minorEastAsia" w:cstheme="minorEastAsia"/>
          <w:b/>
        </w:rPr>
        <w:t xml:space="preserve">项目名称：盐城市公安局大数据支队新警综平台备份库建设项目</w:t>
      </w:r>
      <w:r/>
    </w:p>
    <w:p>
      <w:pPr>
        <w:pStyle w:val="787"/>
        <w:spacing w:line="360" w:lineRule="auto"/>
      </w:pPr>
      <w:r>
        <w:t xml:space="preserve"> </w:t>
      </w:r>
      <w:r/>
    </w:p>
    <w:p>
      <w:pPr>
        <w:pStyle w:val="787"/>
        <w:spacing w:line="360" w:lineRule="auto"/>
      </w:pPr>
      <w:r/>
      <w:r/>
    </w:p>
    <w:p>
      <w:pPr>
        <w:pStyle w:val="787"/>
        <w:jc w:val="center"/>
        <w:spacing w:line="400" w:lineRule="exact"/>
      </w:pPr>
      <w:r/>
      <w:r/>
    </w:p>
    <w:p>
      <w:pPr>
        <w:pStyle w:val="787"/>
        <w:jc w:val="center"/>
        <w:spacing w:line="400" w:lineRule="exact"/>
        <w:rPr>
          <w:rFonts w:ascii="黑体" w:hAnsi="黑体" w:eastAsia="黑体" w:cs="黑体"/>
          <w:bCs/>
        </w:rPr>
        <w:outlineLvl w:val="0"/>
      </w:pPr>
      <w:r>
        <w:rPr>
          <w:rFonts w:hint="eastAsia" w:ascii="黑体" w:hAnsi="黑体" w:eastAsia="黑体" w:cs="黑体"/>
          <w:bCs/>
        </w:rPr>
        <w:t xml:space="preserve">盐城市公安局</w:t>
      </w:r>
      <w:r/>
    </w:p>
    <w:p>
      <w:pPr>
        <w:pStyle w:val="787"/>
        <w:jc w:val="center"/>
        <w:spacing w:line="400" w:lineRule="exact"/>
        <w:rPr>
          <w:rFonts w:ascii="黑体" w:hAnsi="黑体" w:eastAsia="黑体" w:cs="黑体"/>
          <w:bCs/>
        </w:rPr>
      </w:pPr>
      <w:r>
        <w:rPr>
          <w:rFonts w:hint="eastAsia" w:ascii="黑体" w:hAnsi="黑体" w:eastAsia="黑体" w:cs="黑体"/>
          <w:bCs/>
        </w:rPr>
        <w:t xml:space="preserve">2025年1</w:t>
      </w:r>
      <w:r>
        <w:rPr>
          <w:rFonts w:hint="eastAsia" w:ascii="黑体" w:hAnsi="黑体" w:eastAsia="黑体" w:cs="黑体"/>
          <w:bCs/>
          <w:lang w:val="en-US" w:eastAsia="zh-CN"/>
        </w:rPr>
        <w:t xml:space="preserve">2</w:t>
      </w:r>
      <w:r>
        <w:rPr>
          <w:rFonts w:hint="eastAsia" w:ascii="黑体" w:hAnsi="黑体" w:eastAsia="黑体" w:cs="黑体"/>
          <w:bCs/>
        </w:rPr>
        <w:t xml:space="preserve">月</w:t>
      </w:r>
      <w:r/>
    </w:p>
    <w:p>
      <w:pPr>
        <w:pStyle w:val="787"/>
        <w:jc w:val="center"/>
        <w:spacing w:line="360" w:lineRule="auto"/>
      </w:pPr>
      <w:r>
        <w:t xml:space="preserve"> </w:t>
      </w:r>
      <w:r/>
    </w:p>
    <w:p>
      <w:pPr>
        <w:pStyle w:val="787"/>
        <w:widowControl/>
        <w:rPr>
          <w:rFonts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pPr>
      <w:r>
        <w:rPr>
          <w:rFonts w:asciiTheme="majorEastAsia" w:hAnsiTheme="majorEastAsia" w:eastAsiaTheme="majorEastAsia" w:cstheme="majorEastAsia"/>
          <w:sz w:val="44"/>
          <w:szCs w:val="20"/>
        </w:rPr>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20"/>
        </w:rPr>
      </w:r>
      <w:r/>
    </w:p>
    <w:p>
      <w:pPr>
        <w:jc w:val="center"/>
        <w:spacing w:line="700" w:lineRule="exact"/>
        <w:widowControl/>
        <w:rPr>
          <w:rFonts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44"/>
        </w:rPr>
      </w:r>
      <w:r/>
    </w:p>
    <w:p>
      <w:pPr>
        <w:jc w:val="center"/>
        <w:spacing w:line="700" w:lineRule="exact"/>
        <w:widowControl/>
        <w:rPr>
          <w:rFonts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44"/>
        </w:rPr>
      </w:r>
      <w:r/>
    </w:p>
    <w:p>
      <w:pPr>
        <w:jc w:val="center"/>
        <w:spacing w:line="700" w:lineRule="exact"/>
        <w:widowControl/>
        <w:rPr>
          <w:rFonts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asciiTheme="majorEastAsia" w:hAnsiTheme="majorEastAsia" w:eastAsiaTheme="majorEastAsia" w:cstheme="majorEastAsia"/>
          <w:sz w:val="44"/>
          <w:szCs w:val="44"/>
        </w:rPr>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总  目  录</w:t>
      </w:r>
      <w:r/>
    </w:p>
    <w:p>
      <w:pPr>
        <w:rPr>
          <w:b/>
          <w:sz w:val="28"/>
        </w:rPr>
      </w:pPr>
      <w:r>
        <w:rPr>
          <w:b/>
          <w:sz w:val="28"/>
        </w:rPr>
      </w:r>
      <w:r/>
    </w:p>
    <w:p>
      <w:pPr>
        <w:numPr>
          <w:ilvl w:val="0"/>
          <w:numId w:val="2"/>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招标公告………………………………1</w:t>
      </w:r>
      <w:r/>
    </w:p>
    <w:p>
      <w:pPr>
        <w:numPr>
          <w:ilvl w:val="0"/>
          <w:numId w:val="2"/>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投标人须知……………………………5</w:t>
      </w:r>
      <w:r/>
    </w:p>
    <w:p>
      <w:pPr>
        <w:numPr>
          <w:ilvl w:val="0"/>
          <w:numId w:val="2"/>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合同文本………………………………23</w:t>
      </w:r>
      <w:r/>
    </w:p>
    <w:p>
      <w:p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第四章  采购需求………………………………30</w:t>
      </w:r>
      <w:r/>
    </w:p>
    <w:p>
      <w:p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第五章  评标方法与评标标准…………………48</w:t>
      </w:r>
      <w:r/>
    </w:p>
    <w:p>
      <w:p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第六章  投标文件格式…………………………53</w:t>
      </w:r>
      <w:r/>
    </w:p>
    <w:p>
      <w:pPr>
        <w:ind w:firstLine="420"/>
        <w:spacing w:after="200" w:line="600" w:lineRule="exact"/>
        <w:widowControl/>
        <w:tabs>
          <w:tab w:val="left" w:pos="1440" w:leader="none"/>
        </w:tabs>
        <w:rPr>
          <w:rFonts w:ascii="黑体" w:hAnsi="Showcard Gothic" w:eastAsia="黑体" w:cs="Times New Roman"/>
          <w:sz w:val="28"/>
          <w:szCs w:val="22"/>
        </w:rPr>
      </w:pPr>
      <w:r>
        <w:rPr>
          <w:rFonts w:ascii="黑体" w:hAnsi="Showcard Gothic" w:eastAsia="黑体" w:cs="Times New Roman"/>
          <w:sz w:val="28"/>
          <w:szCs w:val="22"/>
        </w:rPr>
      </w:r>
      <w:r/>
    </w:p>
    <w:p>
      <w:pPr>
        <w:pStyle w:val="787"/>
        <w:jc w:val="both"/>
      </w:pPr>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0" w:name="_Toc203060312"/>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第一章  招标公告</w:t>
      </w:r>
      <w:r/>
    </w:p>
    <w:p>
      <w:pPr>
        <w:spacing w:line="200" w:lineRule="exact"/>
        <w:widowControl/>
        <w:rPr>
          <w:rFonts w:ascii="黑体" w:hAnsi="宋体" w:eastAsia="黑体" w:cs="黑体"/>
          <w:sz w:val="44"/>
          <w:szCs w:val="44"/>
        </w:rPr>
      </w:pPr>
      <w:r>
        <w:rPr>
          <w:rFonts w:ascii="黑体" w:hAnsi="宋体" w:eastAsia="黑体" w:cs="黑体"/>
          <w:sz w:val="44"/>
          <w:szCs w:val="44"/>
        </w:rPr>
      </w:r>
      <w:r/>
    </w:p>
    <w:p>
      <w:pPr>
        <w:ind w:firstLine="480"/>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盐城市公安局大数据支队新警综平台备份库建设项目JSZC-320900-JZCG-G2025-0063的潜在投标人应在“苏采云”系统内免费下载（投标人必须在苏采云系统中获取采购文件，方能参与政府采购项目），并于2025年12</w:t>
      </w:r>
      <w:r>
        <w:rPr>
          <w:rFonts w:hint="eastAsia" w:ascii="宋体" w:hAnsi="宋体" w:eastAsia="宋体" w:cs="宋体"/>
          <w:sz w:val="24"/>
          <w:szCs w:val="20"/>
        </w:rPr>
        <w:t xml:space="preserve">月31日9点30分（北京时间）前递交投标文件。</w:t>
      </w:r>
      <w:bookmarkEnd w:id="0"/>
      <w:r/>
      <w:r/>
    </w:p>
    <w:p>
      <w:pPr>
        <w:ind w:firstLine="482"/>
        <w:jc w:val="left"/>
        <w:spacing w:line="560" w:lineRule="exact"/>
        <w:widowControl/>
        <w:rPr>
          <w:rFonts w:ascii="宋体" w:hAnsi="宋体" w:eastAsia="宋体" w:cs="宋体"/>
          <w:b/>
          <w:bCs/>
          <w:sz w:val="24"/>
          <w:szCs w:val="20"/>
        </w:rPr>
        <w:outlineLvl w:val="1"/>
      </w:pPr>
      <w:r/>
      <w:bookmarkStart w:id="1" w:name="_Hlk24379207"/>
      <w:r/>
      <w:bookmarkStart w:id="2" w:name="_Toc38985263"/>
      <w:r/>
      <w:bookmarkStart w:id="3" w:name="_Toc35393621"/>
      <w:r/>
      <w:bookmarkStart w:id="4" w:name="_Toc28359079"/>
      <w:r/>
      <w:bookmarkStart w:id="5" w:name="_Toc35393790"/>
      <w:r/>
      <w:bookmarkStart w:id="6" w:name="_Toc28359002"/>
      <w:r/>
      <w:bookmarkStart w:id="7" w:name="_Toc28359086"/>
      <w:r>
        <w:rPr>
          <w:rFonts w:hint="eastAsia" w:ascii="宋体" w:hAnsi="宋体" w:eastAsia="宋体" w:cs="宋体"/>
          <w:b/>
          <w:bCs/>
          <w:sz w:val="24"/>
          <w:szCs w:val="20"/>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1.项目编号：JSZC-320900-JZCG-G2025-0063</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w:t>
      </w:r>
      <w:bookmarkStart w:id="8" w:name="OLE_LINK3"/>
      <w:r/>
      <w:bookmarkStart w:id="9" w:name="OLE_LINK4"/>
      <w:r>
        <w:rPr>
          <w:rFonts w:hint="eastAsia" w:ascii="宋体" w:hAnsi="宋体" w:eastAsia="宋体" w:cs="宋体"/>
          <w:sz w:val="24"/>
          <w:szCs w:val="20"/>
        </w:rPr>
        <w:t xml:space="preserve">项目名称：盐城市公安局大数据支队新警综平台备份库建设项目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3.采购方式：公开招标</w:t>
      </w:r>
      <w:r/>
    </w:p>
    <w:p>
      <w:pPr>
        <w:ind w:firstLine="482"/>
        <w:jc w:val="left"/>
        <w:spacing w:line="560" w:lineRule="exact"/>
        <w:widowControl/>
        <w:rPr>
          <w:rFonts w:ascii="宋体" w:hAnsi="宋体" w:eastAsia="宋体" w:cs="宋体"/>
          <w:sz w:val="24"/>
          <w:szCs w:val="20"/>
        </w:rPr>
      </w:pPr>
      <w:r/>
      <w:bookmarkStart w:id="10" w:name="OLE_LINK7"/>
      <w:r>
        <w:rPr>
          <w:rFonts w:hint="eastAsia" w:ascii="宋体" w:hAnsi="宋体" w:eastAsia="宋体" w:cs="宋体"/>
          <w:sz w:val="24"/>
          <w:szCs w:val="20"/>
        </w:rPr>
        <w:t xml:space="preserve">4.预算金额：</w:t>
      </w:r>
      <w:r>
        <w:rPr>
          <w:rFonts w:ascii="宋体" w:hAnsi="宋体" w:eastAsia="宋体" w:cs="宋体"/>
          <w:sz w:val="24"/>
          <w:szCs w:val="20"/>
        </w:rPr>
        <w:t xml:space="preserve">72.8</w:t>
      </w:r>
      <w:r>
        <w:rPr>
          <w:rFonts w:hint="eastAsia" w:ascii="宋体" w:hAnsi="宋体" w:eastAsia="宋体" w:cs="宋体"/>
          <w:sz w:val="24"/>
          <w:szCs w:val="20"/>
        </w:rPr>
        <w:t xml:space="preserve">万元</w:t>
      </w:r>
      <w:r/>
    </w:p>
    <w:p>
      <w:pPr>
        <w:ind w:firstLine="482"/>
        <w:jc w:val="left"/>
        <w:spacing w:line="560" w:lineRule="exact"/>
        <w:widowControl/>
        <w:rPr>
          <w:rFonts w:ascii="宋体" w:hAnsi="宋体"/>
          <w:sz w:val="24"/>
        </w:rPr>
      </w:pPr>
      <w:r>
        <w:rPr>
          <w:rFonts w:hint="eastAsia" w:ascii="宋体" w:hAnsi="宋体" w:eastAsia="宋体" w:cs="宋体"/>
          <w:sz w:val="24"/>
          <w:szCs w:val="20"/>
        </w:rPr>
        <w:t xml:space="preserve">5.最高限价：</w:t>
      </w:r>
      <w:bookmarkEnd w:id="8"/>
      <w:r/>
      <w:bookmarkEnd w:id="9"/>
      <w:r/>
      <w:bookmarkEnd w:id="10"/>
      <w:r>
        <w:rPr>
          <w:rFonts w:ascii="宋体" w:hAnsi="宋体"/>
          <w:sz w:val="24"/>
        </w:rPr>
        <w:t xml:space="preserve">72.8</w:t>
      </w:r>
      <w:r>
        <w:rPr>
          <w:rFonts w:hint="eastAsia" w:ascii="宋体" w:hAnsi="宋体"/>
          <w:sz w:val="24"/>
        </w:rPr>
        <w:t xml:space="preserve">万元</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6.采购需求：</w:t>
      </w:r>
      <w:bookmarkStart w:id="11" w:name="OLE_LINK1"/>
      <w:r/>
      <w:bookmarkStart w:id="12" w:name="OLE_LINK2"/>
      <w:r>
        <w:rPr>
          <w:rFonts w:hint="eastAsia" w:ascii="宋体" w:hAnsi="宋体" w:eastAsia="宋体" w:cs="宋体"/>
          <w:sz w:val="24"/>
          <w:szCs w:val="20"/>
        </w:rPr>
        <w:t xml:space="preserve">盐城市公安局大数据支队新警综平台备份库建设项目，具体详见第四章采购需求。</w:t>
      </w:r>
      <w:bookmarkEnd w:id="11"/>
      <w:r/>
      <w:bookmarkEnd w:id="12"/>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7</w:t>
      </w:r>
      <w:bookmarkStart w:id="13" w:name="OLE_LINK25"/>
      <w:r/>
      <w:bookmarkStart w:id="14" w:name="OLE_LINK20"/>
      <w:r>
        <w:rPr>
          <w:rFonts w:hint="eastAsia" w:ascii="宋体" w:hAnsi="宋体" w:eastAsia="宋体" w:cs="宋体"/>
          <w:sz w:val="24"/>
          <w:szCs w:val="20"/>
        </w:rPr>
        <w:t xml:space="preserve">.</w:t>
      </w:r>
      <w:bookmarkEnd w:id="13"/>
      <w:r/>
      <w:bookmarkEnd w:id="14"/>
      <w:r>
        <w:rPr>
          <w:rFonts w:hint="eastAsia" w:ascii="宋体" w:hAnsi="宋体" w:eastAsia="宋体" w:cs="宋体"/>
          <w:sz w:val="24"/>
          <w:szCs w:val="20"/>
        </w:rPr>
        <w:t xml:space="preserve">合同履行期限：1</w:t>
      </w:r>
      <w:r>
        <w:rPr>
          <w:rFonts w:ascii="宋体" w:hAnsi="宋体" w:eastAsia="宋体" w:cs="宋体"/>
          <w:sz w:val="24"/>
          <w:szCs w:val="20"/>
        </w:rPr>
        <w:t xml:space="preserve">20</w:t>
      </w:r>
      <w:r>
        <w:rPr>
          <w:rFonts w:hint="eastAsia" w:ascii="宋体" w:hAnsi="宋体" w:eastAsia="宋体" w:cs="宋体"/>
          <w:sz w:val="24"/>
          <w:szCs w:val="20"/>
        </w:rPr>
        <w:t xml:space="preserve">天。</w:t>
      </w:r>
      <w:r/>
    </w:p>
    <w:p>
      <w:pPr>
        <w:ind w:firstLine="482"/>
        <w:jc w:val="left"/>
        <w:spacing w:line="560" w:lineRule="exact"/>
        <w:widowControl/>
        <w:rPr>
          <w:rFonts w:ascii="宋体" w:hAnsi="宋体" w:eastAsia="宋体" w:cs="宋体"/>
          <w:sz w:val="24"/>
          <w:szCs w:val="20"/>
        </w:rPr>
        <w:outlineLvl w:val="2"/>
      </w:pPr>
      <w:r>
        <w:rPr>
          <w:rFonts w:hint="eastAsia" w:ascii="宋体" w:hAnsi="宋体" w:eastAsia="宋体" w:cs="宋体"/>
          <w:sz w:val="24"/>
          <w:szCs w:val="20"/>
        </w:rPr>
        <w:t xml:space="preserve">8.本项目（是/否）接受联合体投标：否。</w:t>
      </w:r>
      <w:r/>
    </w:p>
    <w:p>
      <w:pPr>
        <w:ind w:firstLine="482"/>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1.2上一年度的财务状况报告（成立不满一年无需提供）；</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1.6法律、行政法规规定的其他条件。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w:t>
      </w:r>
      <w:r/>
    </w:p>
    <w:p>
      <w:pPr>
        <w:ind w:firstLine="482"/>
        <w:jc w:val="left"/>
        <w:spacing w:line="560" w:lineRule="exact"/>
        <w:widowControl/>
        <w:rPr>
          <w:rFonts w:ascii="宋体" w:hAnsi="宋体" w:eastAsia="宋体" w:cs="宋体"/>
          <w:color w:val="000000" w:themeColor="text1"/>
          <w:sz w:val="24"/>
          <w:szCs w:val="20"/>
        </w:rPr>
      </w:pPr>
      <w:r>
        <w:rPr>
          <w:rFonts w:hint="eastAsia" w:ascii="宋体" w:hAnsi="宋体" w:eastAsia="宋体" w:cs="宋体"/>
          <w:sz w:val="24"/>
          <w:szCs w:val="20"/>
        </w:rPr>
        <w:t xml:space="preserve">2.落实政府采购政策需满足的资格要求：</w:t>
      </w:r>
      <w:r>
        <w:rPr>
          <w:rFonts w:hint="eastAsia" w:ascii="宋体" w:hAnsi="宋体" w:eastAsia="宋体" w:cs="宋体"/>
          <w:color w:val="000000" w:themeColor="text1"/>
          <w:sz w:val="24"/>
          <w:szCs w:val="20"/>
        </w:rPr>
        <w:t xml:space="preserve">本项目专门面向中小企业采购。采购标的的所属行业为软件和信息技术服务业，投标人需按照采购文件的要求提供相应的《中小企业声明函》。企业标准请参照《关于印发中小企业划型标准规定的通知》（工信部联企业[2011]300号）文件规定自行填写。</w:t>
      </w:r>
      <w:r>
        <w:rPr>
          <w:color w:val="000000" w:themeColor="text1"/>
        </w:rPr>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3.本项目的特定资格要求： 无</w:t>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ascii="宋体" w:hAnsi="宋体" w:cs="宋体"/>
          <w:sz w:val="24"/>
          <w:szCs w:val="20"/>
        </w:rPr>
        <w:outlineLvl w:val="2"/>
      </w:pPr>
      <w:r/>
      <w:bookmarkStart w:id="15" w:name="_Toc38985266"/>
      <w:r/>
      <w:bookmarkStart w:id="16" w:name="_Toc28359005"/>
      <w:r/>
      <w:bookmarkStart w:id="17" w:name="_Toc35393624"/>
      <w:r/>
      <w:bookmarkStart w:id="18" w:name="_Toc28359082"/>
      <w:r/>
      <w:bookmarkStart w:id="19" w:name="_Toc35393793"/>
      <w:r>
        <w:rPr>
          <w:rFonts w:hint="eastAsia" w:ascii="宋体" w:hAnsi="宋体" w:cs="宋体"/>
          <w:sz w:val="24"/>
          <w:szCs w:val="20"/>
        </w:rPr>
        <w:t xml:space="preserve">1.时间：</w:t>
      </w:r>
      <w:bookmarkEnd w:id="15"/>
      <w:r/>
      <w:bookmarkEnd w:id="16"/>
      <w:r/>
      <w:bookmarkEnd w:id="17"/>
      <w:r/>
      <w:bookmarkEnd w:id="18"/>
      <w:r/>
      <w:bookmarkEnd w:id="19"/>
      <w:r>
        <w:rPr>
          <w:rFonts w:hint="eastAsia" w:ascii="宋体" w:hAnsi="宋体" w:cs="宋体"/>
          <w:sz w:val="24"/>
          <w:szCs w:val="20"/>
        </w:rPr>
        <w:t xml:space="preserve">自招标文件公告发布之日起5个工作日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rPr>
        <w:t xml:space="preserve">1.时间：</w:t>
      </w:r>
      <w:r>
        <w:rPr>
          <w:rFonts w:hint="eastAsia" w:ascii="宋体" w:hAnsi="宋体" w:eastAsia="宋体" w:cs="宋体"/>
          <w:sz w:val="24"/>
          <w:szCs w:val="20"/>
        </w:rPr>
        <w:t xml:space="preserve">2025年12</w:t>
      </w:r>
      <w:r>
        <w:rPr>
          <w:rFonts w:hint="eastAsia" w:ascii="宋体" w:hAnsi="宋体" w:eastAsia="宋体" w:cs="宋体"/>
          <w:sz w:val="24"/>
          <w:szCs w:val="20"/>
        </w:rPr>
        <w:t xml:space="preserve">月31日9点30分</w:t>
      </w:r>
      <w:r>
        <w:rPr>
          <w:rFonts w:hint="eastAsia" w:ascii="宋体" w:hAnsi="宋体" w:eastAsia="宋体" w:cs="宋体"/>
          <w:sz w:val="24"/>
        </w:rPr>
        <w:t xml:space="preserve">（北京时间）</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0"/>
        <w:jc w:val="left"/>
        <w:spacing w:line="560" w:lineRule="exact"/>
        <w:widowControl/>
        <w:rPr>
          <w:rFonts w:ascii="宋体" w:hAnsi="宋体" w:eastAsia="宋体" w:cs="宋体"/>
          <w:b/>
          <w:bCs/>
          <w:sz w:val="24"/>
          <w:szCs w:val="20"/>
        </w:rPr>
        <w:outlineLvl w:val="1"/>
      </w:pPr>
      <w:r/>
      <w:bookmarkStart w:id="20" w:name="_Toc38985267"/>
      <w:r/>
      <w:bookmarkStart w:id="21" w:name="_Toc35393625"/>
      <w:r/>
      <w:bookmarkStart w:id="22" w:name="_Toc28359007"/>
      <w:r/>
      <w:bookmarkStart w:id="23" w:name="_Toc28359084"/>
      <w:r/>
      <w:bookmarkStart w:id="24" w:name="_Toc35393794"/>
      <w:r>
        <w:rPr>
          <w:rFonts w:hint="eastAsia" w:ascii="宋体" w:hAnsi="宋体" w:eastAsia="宋体" w:cs="宋体"/>
          <w:b/>
          <w:bCs/>
          <w:sz w:val="24"/>
          <w:szCs w:val="20"/>
        </w:rPr>
        <w:t xml:space="preserve">五、公告期限</w:t>
      </w:r>
      <w:bookmarkEnd w:id="20"/>
      <w:r/>
      <w:bookmarkEnd w:id="21"/>
      <w:r/>
      <w:bookmarkEnd w:id="22"/>
      <w:r/>
      <w:bookmarkEnd w:id="23"/>
      <w:r/>
      <w:bookmarkEnd w:id="24"/>
      <w:r/>
      <w:r/>
    </w:p>
    <w:p>
      <w:pPr>
        <w:ind w:firstLine="480"/>
        <w:jc w:val="left"/>
        <w:spacing w:line="560" w:lineRule="exact"/>
        <w:widowControl/>
        <w:rPr>
          <w:rFonts w:ascii="宋体" w:hAnsi="宋体" w:eastAsia="宋体" w:cs="宋体"/>
          <w:sz w:val="24"/>
          <w:szCs w:val="20"/>
        </w:rPr>
      </w:pPr>
      <w:r/>
      <w:bookmarkStart w:id="25" w:name="_Toc38985268"/>
      <w:r/>
      <w:bookmarkStart w:id="26" w:name="_Toc35393795"/>
      <w:r/>
      <w:bookmarkStart w:id="27" w:name="_Toc35393626"/>
      <w:r>
        <w:rPr>
          <w:rFonts w:hint="eastAsia" w:ascii="宋体" w:hAnsi="宋体" w:eastAsia="宋体" w:cs="宋体"/>
          <w:sz w:val="24"/>
          <w:szCs w:val="20"/>
        </w:rPr>
        <w:t xml:space="preserve">自本公告发布之日起5个工作日</w:t>
      </w:r>
      <w:bookmarkEnd w:id="25"/>
      <w:r/>
      <w:bookmarkEnd w:id="26"/>
      <w:r/>
      <w:bookmarkEnd w:id="27"/>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60" w:lineRule="exact"/>
        <w:widowControl/>
        <w:rPr>
          <w:rFonts w:ascii="宋体" w:hAnsi="宋体" w:eastAsia="宋体" w:cs="宋体"/>
          <w:sz w:val="24"/>
          <w:szCs w:val="20"/>
        </w:rPr>
        <w:outlineLvl w:val="2"/>
      </w:pPr>
      <w:r>
        <w:rPr>
          <w:rFonts w:hint="eastAsia" w:ascii="宋体" w:hAnsi="宋体" w:eastAsia="宋体" w:cs="宋体"/>
          <w:sz w:val="24"/>
          <w:szCs w:val="20"/>
        </w:rPr>
        <w:t xml:space="preserve">2.潜在供应商访问电子招标响应交易平台的网络地址和方法：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2.3 采购文件（后缀名为“.kedt”）、供应商操作手册及政府采购客户端 工具可通过“苏采云”系统相应链接进行下载。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采购代理机构将数据电文形式的采购文件加载至“苏采云”系统，供潜在供应商下载或者查阅。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ascii="宋体" w:hAnsi="宋体" w:cs="宋体"/>
          <w:b/>
          <w:bCs/>
          <w:sz w:val="24"/>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3.有关本次招标的事项若存在变动或修改，敬请及时关注盐城市政府采购中心在“中国政府采购网”、“江苏政府采购网”、“盐城市政府采购网”发布的更正公告。</w:t>
      </w:r>
      <w:r/>
    </w:p>
    <w:p>
      <w:pPr>
        <w:pStyle w:val="787"/>
        <w:ind w:firstLine="480"/>
        <w:jc w:val="both"/>
        <w:spacing w:before="0" w:after="0" w:line="560" w:lineRule="exact"/>
        <w:rPr>
          <w:rFonts w:ascii="宋体" w:hAnsi="宋体" w:eastAsia="宋体" w:cs="宋体"/>
          <w:sz w:val="24"/>
          <w:szCs w:val="20"/>
        </w:rPr>
        <w:outlineLvl w:val="2"/>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1.采购人信息 </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单位名称：</w:t>
      </w:r>
      <w:r>
        <w:rPr>
          <w:rFonts w:hint="eastAsia" w:ascii="宋体" w:hAnsi="宋体" w:eastAsia="宋体" w:cs="宋体"/>
          <w:sz w:val="24"/>
          <w:szCs w:val="20"/>
        </w:rPr>
        <w:t xml:space="preserve">盐城市公安局</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单位地址：</w:t>
      </w:r>
      <w:r>
        <w:rPr>
          <w:rFonts w:hint="eastAsia" w:asciiTheme="minorEastAsia" w:hAnsiTheme="minorEastAsia" w:cstheme="minorEastAsia"/>
          <w:sz w:val="24"/>
          <w:szCs w:val="20"/>
        </w:rPr>
        <w:t xml:space="preserve">盐城市亭湖区平安路9号</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联 系 人：</w:t>
      </w:r>
      <w:r>
        <w:rPr>
          <w:rFonts w:hint="eastAsia" w:ascii="宋体" w:hAnsi="宋体" w:eastAsia="宋体" w:cs="宋体"/>
          <w:sz w:val="24"/>
          <w:szCs w:val="20"/>
        </w:rPr>
        <w:t xml:space="preserve">江警官</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联系电话：</w:t>
      </w:r>
      <w:r>
        <w:rPr>
          <w:rFonts w:ascii="宋体" w:hAnsi="宋体" w:eastAsia="宋体" w:cs="宋体"/>
          <w:sz w:val="24"/>
          <w:szCs w:val="20"/>
        </w:rPr>
        <w:t xml:space="preserve">0515-83220095</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2.采购代理机构信息</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名 </w:t>
      </w:r>
      <w:r>
        <w:rPr>
          <w:rFonts w:hint="eastAsia" w:ascii="宋体" w:hAnsi="宋体" w:cs="宋体"/>
          <w:sz w:val="24"/>
          <w:szCs w:val="20"/>
        </w:rPr>
        <w:t xml:space="preserve">   </w:t>
      </w:r>
      <w:r>
        <w:rPr>
          <w:rFonts w:hint="eastAsia" w:ascii="宋体" w:hAnsi="宋体" w:eastAsia="Arial" w:cs="宋体"/>
          <w:sz w:val="24"/>
          <w:szCs w:val="20"/>
        </w:rPr>
        <w:t xml:space="preserve">称：盐城市政府采购中心 </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    址：盐城市府西路1号市公共资源交易中心5楼</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 系 人： </w:t>
      </w:r>
      <w:r>
        <w:rPr>
          <w:rFonts w:hint="eastAsia" w:ascii="宋体" w:hAnsi="宋体" w:eastAsia="宋体" w:cs="宋体"/>
          <w:sz w:val="24"/>
          <w:szCs w:val="20"/>
        </w:rPr>
        <w:t xml:space="preserve">刘先生</w:t>
      </w:r>
      <w:r>
        <w:rPr>
          <w:rFonts w:hint="eastAsia" w:ascii="宋体" w:hAnsi="宋体" w:eastAsia="Arial" w:cs="宋体"/>
          <w:sz w:val="24"/>
          <w:szCs w:val="20"/>
        </w:rPr>
        <w:t xml:space="preserve">            </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联系方式：</w:t>
      </w:r>
      <w:r>
        <w:rPr>
          <w:rFonts w:hint="eastAsia" w:ascii="宋体" w:hAnsi="宋体" w:eastAsia="宋体" w:cs="宋体"/>
          <w:sz w:val="24"/>
          <w:szCs w:val="20"/>
        </w:rPr>
        <w:t xml:space="preserve">0515-86663506</w:t>
      </w:r>
      <w:r/>
    </w:p>
    <w:p>
      <w:pPr>
        <w:ind w:firstLine="480"/>
        <w:jc w:val="left"/>
        <w:spacing w:line="560" w:lineRule="exact"/>
        <w:widowControl/>
        <w:rPr>
          <w:rFonts w:ascii="宋体" w:hAnsi="宋体" w:eastAsia="Arial" w:cs="宋体"/>
          <w:b/>
          <w:bCs/>
          <w:sz w:val="24"/>
          <w:szCs w:val="20"/>
        </w:rPr>
        <w:outlineLvl w:val="2"/>
      </w:pPr>
      <w:r/>
      <w:bookmarkStart w:id="28" w:name="_Toc28359021"/>
      <w:r>
        <w:rPr>
          <w:rFonts w:hint="eastAsia" w:ascii="宋体" w:hAnsi="宋体" w:eastAsia="Arial" w:cs="宋体"/>
          <w:b/>
          <w:bCs/>
          <w:sz w:val="24"/>
          <w:szCs w:val="20"/>
        </w:rPr>
        <w:t xml:space="preserve">3.</w:t>
      </w:r>
      <w:bookmarkEnd w:id="28"/>
      <w:r>
        <w:rPr>
          <w:rFonts w:hint="eastAsia" w:ascii="宋体" w:hAnsi="宋体" w:eastAsia="Arial" w:cs="宋体"/>
          <w:b/>
          <w:bCs/>
          <w:sz w:val="24"/>
          <w:szCs w:val="20"/>
        </w:rPr>
        <w:t xml:space="preserve">项目联系方式</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项目联系人：</w:t>
      </w:r>
      <w:r>
        <w:rPr>
          <w:rFonts w:hint="eastAsia" w:ascii="宋体" w:hAnsi="宋体" w:eastAsia="宋体" w:cs="宋体"/>
          <w:sz w:val="24"/>
          <w:szCs w:val="20"/>
        </w:rPr>
        <w:t xml:space="preserve">刘先生</w:t>
      </w:r>
      <w:r>
        <w:rPr>
          <w:rFonts w:hint="eastAsia" w:ascii="宋体" w:hAnsi="宋体" w:eastAsia="Arial" w:cs="宋体"/>
          <w:sz w:val="24"/>
          <w:szCs w:val="20"/>
        </w:rPr>
        <w:t xml:space="preserve"> </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联</w:t>
      </w:r>
      <w:r>
        <w:rPr>
          <w:rFonts w:hint="eastAsia" w:ascii="宋体" w:hAnsi="宋体" w:eastAsia="宋体" w:cs="宋体"/>
          <w:sz w:val="24"/>
          <w:szCs w:val="20"/>
        </w:rPr>
        <w:t xml:space="preserve"> </w:t>
      </w:r>
      <w:r>
        <w:rPr>
          <w:rFonts w:hint="eastAsia" w:ascii="宋体" w:hAnsi="宋体" w:eastAsia="Arial" w:cs="宋体"/>
          <w:sz w:val="24"/>
          <w:szCs w:val="20"/>
        </w:rPr>
        <w:t xml:space="preserve">系</w:t>
      </w:r>
      <w:r>
        <w:rPr>
          <w:rFonts w:hint="eastAsia" w:ascii="宋体" w:hAnsi="宋体" w:eastAsia="宋体" w:cs="宋体"/>
          <w:sz w:val="24"/>
          <w:szCs w:val="20"/>
        </w:rPr>
        <w:t xml:space="preserve"> </w:t>
      </w:r>
      <w:r>
        <w:rPr>
          <w:rFonts w:hint="eastAsia" w:ascii="宋体" w:hAnsi="宋体" w:eastAsia="Arial" w:cs="宋体"/>
          <w:sz w:val="24"/>
          <w:szCs w:val="20"/>
        </w:rPr>
        <w:t xml:space="preserve">电话：</w:t>
      </w:r>
      <w:r>
        <w:rPr>
          <w:rFonts w:hint="eastAsia" w:ascii="宋体" w:hAnsi="宋体" w:eastAsia="宋体" w:cs="宋体"/>
          <w:sz w:val="24"/>
          <w:szCs w:val="20"/>
        </w:rPr>
        <w:t xml:space="preserve">0515-86663506</w:t>
      </w:r>
      <w:r/>
    </w:p>
    <w:p>
      <w:pPr>
        <w:ind w:firstLine="480"/>
        <w:jc w:val="left"/>
        <w:spacing w:line="560" w:lineRule="exact"/>
        <w:widowControl/>
        <w:rPr>
          <w:rFonts w:ascii="宋体" w:hAnsi="宋体" w:eastAsia="宋体" w:cs="宋体"/>
          <w:sz w:val="24"/>
          <w:szCs w:val="20"/>
        </w:rPr>
      </w:pPr>
      <w:r>
        <w:rPr>
          <w:rFonts w:ascii="宋体" w:hAnsi="宋体" w:eastAsia="宋体" w:cs="宋体"/>
          <w:sz w:val="24"/>
          <w:szCs w:val="20"/>
        </w:rPr>
      </w:r>
      <w:r/>
    </w:p>
    <w:p>
      <w:pPr>
        <w:rPr>
          <w:rFonts w:asciiTheme="majorEastAsia" w:hAnsiTheme="majorEastAsia" w:eastAsiaTheme="majorEastAsia" w:cstheme="majorEastAsia"/>
          <w:sz w:val="44"/>
          <w:szCs w:val="20"/>
        </w:rPr>
      </w:pPr>
      <w:r/>
      <w:bookmarkStart w:id="29" w:name="_Toc120614211"/>
      <w:r/>
      <w:bookmarkStart w:id="30" w:name="_Toc203060313"/>
      <w:r>
        <w:rPr>
          <w:rFonts w:hint="eastAsia" w:asciiTheme="majorEastAsia" w:hAnsiTheme="majorEastAsia" w:eastAsiaTheme="majorEastAsia" w:cstheme="majorEastAsia"/>
          <w:sz w:val="44"/>
          <w:szCs w:val="20"/>
        </w:rPr>
        <w:br w:type="page" w:clear="all"/>
      </w:r>
      <w:r/>
    </w:p>
    <w:p>
      <w:pPr>
        <w:jc w:val="center"/>
        <w:spacing w:line="560" w:lineRule="exact"/>
        <w:widowControl/>
        <w:rPr>
          <w:rFonts w:asciiTheme="majorEastAsia" w:hAnsiTheme="majorEastAsia" w:eastAsiaTheme="majorEastAsia" w:cstheme="majorEastAsia"/>
          <w:sz w:val="44"/>
          <w:szCs w:val="20"/>
        </w:rPr>
        <w:outlineLvl w:val="0"/>
      </w:pPr>
      <w:r>
        <w:rPr>
          <w:rFonts w:hint="eastAsia" w:asciiTheme="majorEastAsia" w:hAnsiTheme="majorEastAsia" w:eastAsiaTheme="majorEastAsia" w:cstheme="majorEastAsia"/>
          <w:sz w:val="44"/>
          <w:szCs w:val="20"/>
        </w:rPr>
        <w:t xml:space="preserve">第二章  </w:t>
      </w:r>
      <w:bookmarkEnd w:id="29"/>
      <w:r>
        <w:rPr>
          <w:rFonts w:hint="eastAsia" w:asciiTheme="majorEastAsia" w:hAnsiTheme="majorEastAsia" w:eastAsiaTheme="majorEastAsia" w:cstheme="majorEastAsia"/>
          <w:sz w:val="44"/>
          <w:szCs w:val="20"/>
        </w:rPr>
        <w:t xml:space="preserve">投标人须知</w:t>
      </w:r>
      <w:bookmarkEnd w:id="30"/>
      <w:r/>
      <w:bookmarkStart w:id="31" w:name="_Toc16938558"/>
      <w:r/>
      <w:bookmarkEnd w:id="31"/>
      <w:r/>
      <w:bookmarkStart w:id="32" w:name="_Toc120614221"/>
      <w:r/>
      <w:bookmarkEnd w:id="32"/>
      <w:r/>
      <w:bookmarkStart w:id="33" w:name="_Toc20823314"/>
      <w:r/>
      <w:bookmarkEnd w:id="33"/>
      <w:r/>
      <w:bookmarkStart w:id="34" w:name="_Toc513029242"/>
      <w:r/>
      <w:bookmarkEnd w:id="34"/>
      <w:r/>
      <w:bookmarkStart w:id="35" w:name="_Toc479757207"/>
      <w:r/>
      <w:bookmarkEnd w:id="35"/>
      <w:r/>
      <w:bookmarkStart w:id="36" w:name="_Hlt26954731"/>
      <w:r/>
      <w:bookmarkStart w:id="37" w:name="_Hlt26954852"/>
      <w:r/>
      <w:bookmarkStart w:id="38" w:name="_Hlt26954739"/>
      <w:r/>
      <w:bookmarkStart w:id="39" w:name="_Hlt26954848"/>
      <w:r/>
      <w:bookmarkStart w:id="40" w:name="_Hlt26670486"/>
      <w:r/>
      <w:bookmarkStart w:id="41" w:name="_Hlt26954838"/>
      <w:r/>
      <w:bookmarkStart w:id="42" w:name="_Toc513029226"/>
      <w:r/>
      <w:bookmarkStart w:id="43" w:name="_Hlt26954846"/>
      <w:r/>
      <w:bookmarkStart w:id="44" w:name="_Hlt16619475"/>
      <w:r/>
      <w:bookmarkStart w:id="45" w:name="_Hlt26670482"/>
      <w:r/>
      <w:bookmarkStart w:id="46" w:name="_Hlt26668975"/>
      <w:r/>
      <w:bookmarkStart w:id="47" w:name="_Hlt26670360"/>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48" w:name="_Toc16938520"/>
      <w:r/>
      <w:bookmarkStart w:id="49" w:name="_Toc20823276"/>
      <w:r/>
      <w:bookmarkStart w:id="50" w:name="_Toc458694821"/>
      <w:r/>
      <w:bookmarkStart w:id="51" w:name="_Toc513029204"/>
      <w:r/>
      <w:bookmarkStart w:id="52" w:name="OLE_LINK14"/>
      <w:r/>
      <w:bookmarkStart w:id="53" w:name="OLE_LINK15"/>
      <w:r>
        <w:rPr>
          <w:rFonts w:hint="eastAsia" w:ascii="宋体" w:hAnsi="宋体" w:eastAsia="Arial" w:cs="宋体"/>
          <w:b/>
          <w:bCs/>
          <w:sz w:val="24"/>
          <w:szCs w:val="20"/>
        </w:rPr>
        <w:t xml:space="preserve">1</w:t>
      </w:r>
      <w:bookmarkEnd w:id="48"/>
      <w:r>
        <w:rPr>
          <w:rFonts w:hint="eastAsia" w:ascii="宋体" w:hAnsi="宋体" w:eastAsia="Arial" w:cs="宋体"/>
          <w:b/>
          <w:bCs/>
          <w:sz w:val="24"/>
          <w:szCs w:val="20"/>
        </w:rPr>
        <w:t xml:space="preserve">、招标方式</w:t>
      </w:r>
      <w:bookmarkEnd w:id="49"/>
      <w:r/>
      <w:bookmarkEnd w:id="50"/>
      <w:r/>
      <w:bookmarkEnd w:id="51"/>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4" w:name="_Toc20823277"/>
      <w:r/>
      <w:bookmarkStart w:id="55" w:name="_Toc513029205"/>
      <w:r/>
      <w:bookmarkStart w:id="56" w:name="_Toc16938521"/>
      <w:r>
        <w:rPr>
          <w:rFonts w:hint="eastAsia" w:ascii="宋体" w:hAnsi="宋体" w:eastAsia="Arial" w:cs="宋体"/>
          <w:b/>
          <w:bCs/>
          <w:sz w:val="24"/>
          <w:szCs w:val="20"/>
          <w:lang w:val="zh-CN"/>
        </w:rPr>
        <w:t xml:space="preserve">2、合格的投标人</w:t>
      </w:r>
      <w:bookmarkEnd w:id="54"/>
      <w:r/>
      <w:bookmarkEnd w:id="55"/>
      <w:r/>
      <w:bookmarkEnd w:id="56"/>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57" w:name="_Toc16938522"/>
      <w:r/>
      <w:bookmarkStart w:id="58" w:name="_Toc513029206"/>
      <w:r/>
      <w:bookmarkStart w:id="59" w:name="_Toc20823278"/>
      <w:r>
        <w:rPr>
          <w:rFonts w:hint="eastAsia" w:ascii="宋体" w:hAnsi="宋体" w:eastAsia="Arial" w:cs="宋体"/>
          <w:b/>
          <w:bCs/>
          <w:sz w:val="24"/>
          <w:szCs w:val="20"/>
        </w:rPr>
        <w:t xml:space="preserve">3、适用法律</w:t>
      </w:r>
      <w:bookmarkEnd w:id="57"/>
      <w:r/>
      <w:bookmarkEnd w:id="58"/>
      <w:r/>
      <w:bookmarkEnd w:id="59"/>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0" w:name="_Toc462564067"/>
      <w:r/>
      <w:bookmarkStart w:id="61" w:name="_Toc513029207"/>
      <w:r/>
      <w:bookmarkStart w:id="62" w:name="_Toc16938523"/>
      <w:r/>
      <w:bookmarkStart w:id="63" w:name="_Toc20823279"/>
      <w:r>
        <w:rPr>
          <w:rFonts w:hint="eastAsia" w:ascii="宋体" w:hAnsi="宋体" w:eastAsia="Arial" w:cs="宋体"/>
          <w:b/>
          <w:bCs/>
          <w:sz w:val="24"/>
          <w:szCs w:val="20"/>
        </w:rPr>
        <w:t xml:space="preserve">4、投标费用</w:t>
      </w:r>
      <w:bookmarkEnd w:id="60"/>
      <w:r/>
      <w:bookmarkEnd w:id="61"/>
      <w:r/>
      <w:bookmarkEnd w:id="62"/>
      <w:r/>
      <w:bookmarkEnd w:id="63"/>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4.2本次招标采购中心和采购人不收取标书工本费与中标服务费。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4" w:name="_Toc20823281"/>
      <w:r/>
      <w:bookmarkStart w:id="65" w:name="_Toc120614215"/>
      <w:r/>
      <w:bookmarkStart w:id="66" w:name="_Toc513029209"/>
      <w:r/>
      <w:bookmarkStart w:id="67" w:name="_Toc16938525"/>
      <w:r>
        <w:rPr>
          <w:rFonts w:hint="eastAsia" w:ascii="宋体" w:hAnsi="宋体" w:eastAsia="Arial" w:cs="宋体"/>
          <w:b/>
          <w:bCs/>
          <w:sz w:val="24"/>
          <w:szCs w:val="20"/>
        </w:rPr>
        <w:t xml:space="preserve">二、招标文件</w:t>
      </w:r>
      <w:bookmarkEnd w:id="64"/>
      <w:r/>
      <w:bookmarkEnd w:id="65"/>
      <w:r/>
      <w:bookmarkEnd w:id="66"/>
      <w:r/>
      <w:bookmarkEnd w:id="67"/>
      <w:r/>
      <w:r/>
    </w:p>
    <w:p>
      <w:pPr>
        <w:ind w:firstLine="482"/>
        <w:jc w:val="left"/>
        <w:spacing w:line="560" w:lineRule="exact"/>
        <w:widowControl/>
        <w:rPr>
          <w:rFonts w:ascii="宋体" w:hAnsi="宋体" w:eastAsia="Arial" w:cs="宋体"/>
          <w:b/>
          <w:bCs/>
          <w:sz w:val="24"/>
          <w:szCs w:val="20"/>
        </w:rPr>
        <w:outlineLvl w:val="2"/>
      </w:pPr>
      <w:r/>
      <w:bookmarkStart w:id="68" w:name="_Toc513029210"/>
      <w:r/>
      <w:bookmarkStart w:id="69" w:name="_Toc16938526"/>
      <w:r/>
      <w:bookmarkStart w:id="70" w:name="_Toc20823282"/>
      <w:r>
        <w:rPr>
          <w:rFonts w:hint="eastAsia" w:ascii="宋体" w:hAnsi="宋体" w:eastAsia="Arial" w:cs="宋体"/>
          <w:b/>
          <w:bCs/>
          <w:sz w:val="24"/>
          <w:szCs w:val="20"/>
        </w:rPr>
        <w:t xml:space="preserve">6、招标文件构成</w:t>
      </w:r>
      <w:bookmarkEnd w:id="68"/>
      <w:r/>
      <w:bookmarkEnd w:id="69"/>
      <w:r/>
      <w:bookmarkEnd w:id="70"/>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请仔细检查招标文件是否齐全，如有缺漏请立即与采购中心联系解决。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1" w:name="_Toc513029211"/>
      <w:r/>
      <w:bookmarkStart w:id="72" w:name="_Toc20823283"/>
      <w:r/>
      <w:bookmarkStart w:id="73" w:name="_Toc16938527"/>
      <w:r/>
      <w:bookmarkStart w:id="74" w:name="_Toc462564070"/>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前按招标公告中的通讯地址，以书面形式通知采购中心。</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8.1在投标截止时间前，采购中心可以对招标文件进行修改。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8.2采购中心有权按照法定的要求推迟投标截止日期和开标日期。</w:t>
      </w:r>
      <w:r/>
    </w:p>
    <w:p>
      <w:pPr>
        <w:ind w:firstLine="482"/>
        <w:jc w:val="left"/>
        <w:spacing w:line="560" w:lineRule="exact"/>
        <w:widowControl/>
        <w:rPr>
          <w:rFonts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9.1投标人提交的投标文件以及投标人与采购中心就有关投标的所有来往通知、函件和文件均应使用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13.2投标人可在投标文件中提供认为需要的其他技术文件或说明。</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14、投标函和开标一览表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15、投标有效期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15.1投标有效期为采购中心规定的开标之日后</w:t>
      </w:r>
      <w:r>
        <w:rPr>
          <w:rFonts w:hint="eastAsia" w:ascii="宋体" w:hAnsi="宋体" w:eastAsia="Arial" w:cs="宋体"/>
          <w:b/>
          <w:bCs/>
          <w:sz w:val="24"/>
          <w:szCs w:val="20"/>
          <w:u w:val="single"/>
        </w:rPr>
        <w:t xml:space="preserve">九十（90）天</w:t>
      </w:r>
      <w:r>
        <w:rPr>
          <w:rFonts w:hint="eastAsia" w:ascii="宋体" w:hAnsi="宋体" w:eastAsia="Arial"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16、投标有效期的延长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71"/>
      <w:r/>
      <w:bookmarkEnd w:id="72"/>
      <w:r/>
      <w:bookmarkEnd w:id="73"/>
      <w:r/>
      <w:bookmarkEnd w:id="74"/>
      <w:r/>
      <w:r/>
    </w:p>
    <w:p>
      <w:pPr>
        <w:ind w:firstLine="482"/>
        <w:jc w:val="left"/>
        <w:spacing w:line="560" w:lineRule="exact"/>
        <w:widowControl/>
        <w:rPr>
          <w:rFonts w:ascii="宋体" w:hAnsi="宋体" w:eastAsia="Arial" w:cs="宋体"/>
          <w:b/>
          <w:bCs/>
          <w:sz w:val="24"/>
          <w:szCs w:val="20"/>
        </w:rPr>
        <w:outlineLvl w:val="1"/>
      </w:pPr>
      <w:r/>
      <w:bookmarkStart w:id="75" w:name="_Toc513029224"/>
      <w:r/>
      <w:bookmarkStart w:id="76" w:name="_Toc120614217"/>
      <w:r/>
      <w:bookmarkStart w:id="77" w:name="_Toc16938540"/>
      <w:r/>
      <w:bookmarkStart w:id="78" w:name="_Toc20823296"/>
      <w:r/>
      <w:bookmarkStart w:id="79" w:name="_Toc16938545"/>
      <w:r/>
      <w:bookmarkStart w:id="80" w:name="_Toc20823301"/>
      <w:r/>
      <w:bookmarkStart w:id="81" w:name="_Toc120614218"/>
      <w:r/>
      <w:bookmarkStart w:id="82" w:name="_Toc513029229"/>
      <w:r>
        <w:rPr>
          <w:rFonts w:hint="eastAsia" w:ascii="宋体" w:hAnsi="宋体" w:eastAsia="Arial" w:cs="宋体"/>
          <w:b/>
          <w:bCs/>
          <w:sz w:val="24"/>
          <w:szCs w:val="20"/>
        </w:rPr>
        <w:t xml:space="preserve">四、投标文件的递交</w:t>
      </w:r>
      <w:bookmarkEnd w:id="75"/>
      <w:r/>
      <w:bookmarkEnd w:id="76"/>
      <w:r/>
      <w:bookmarkEnd w:id="77"/>
      <w:r/>
      <w:bookmarkEnd w:id="78"/>
      <w:r/>
      <w:r/>
    </w:p>
    <w:p>
      <w:pPr>
        <w:ind w:firstLine="482"/>
        <w:jc w:val="left"/>
        <w:spacing w:line="560" w:lineRule="exact"/>
        <w:widowControl/>
        <w:rPr>
          <w:rFonts w:ascii="宋体" w:hAnsi="宋体" w:eastAsia="Arial" w:cs="宋体"/>
          <w:b/>
          <w:bCs/>
          <w:sz w:val="24"/>
          <w:szCs w:val="20"/>
        </w:rPr>
        <w:outlineLvl w:val="2"/>
      </w:pPr>
      <w:r/>
      <w:bookmarkStart w:id="83" w:name="_Toc20823297"/>
      <w:r/>
      <w:bookmarkStart w:id="84" w:name="_Toc16938541"/>
      <w:r/>
      <w:bookmarkStart w:id="85" w:name="_Toc513029225"/>
      <w:r/>
      <w:bookmarkStart w:id="86" w:name="_Toc462564084"/>
      <w:r>
        <w:rPr>
          <w:rFonts w:hint="eastAsia" w:ascii="宋体" w:hAnsi="宋体" w:eastAsia="Arial" w:cs="宋体"/>
          <w:b/>
          <w:bCs/>
          <w:sz w:val="24"/>
          <w:szCs w:val="20"/>
        </w:rPr>
        <w:t xml:space="preserve">17、投标文件</w:t>
      </w:r>
      <w:bookmarkEnd w:id="83"/>
      <w:r/>
      <w:bookmarkEnd w:id="84"/>
      <w:r/>
      <w:bookmarkEnd w:id="85"/>
      <w:r/>
      <w:bookmarkEnd w:id="86"/>
      <w:r>
        <w:rPr>
          <w:rFonts w:hint="eastAsia" w:ascii="宋体" w:hAnsi="宋体" w:eastAsia="Arial" w:cs="宋体"/>
          <w:b/>
          <w:bCs/>
          <w:sz w:val="24"/>
          <w:szCs w:val="20"/>
        </w:rPr>
        <w:t xml:space="preserve">的递交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电子投标文件的递交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投标人应当按照《操作手册》规定，在投标截止时间前制作并上传电子投标文件。</w:t>
      </w:r>
      <w:bookmarkStart w:id="87" w:name="_Toc20823298"/>
      <w:r/>
      <w:bookmarkEnd w:id="87"/>
      <w:r/>
      <w:bookmarkStart w:id="88" w:name="_Toc16938542"/>
      <w:r/>
      <w:bookmarkEnd w:id="88"/>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18、投标截止时间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18.1投标人上传电子投标文件的时间不得迟于招标公告中规定的投标截止时间</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w:t>
      </w:r>
      <w:r>
        <w:rPr>
          <w:rFonts w:hint="eastAsia" w:ascii="宋体" w:hAnsi="宋体" w:eastAsia="宋体" w:cs="宋体"/>
          <w:sz w:val="24"/>
          <w:szCs w:val="20"/>
        </w:rPr>
        <w:t xml:space="preserve">充分考虑</w:t>
      </w:r>
      <w:r>
        <w:rPr>
          <w:rFonts w:hint="eastAsia" w:ascii="宋体" w:hAnsi="宋体" w:eastAsia="Arial" w:cs="宋体"/>
          <w:sz w:val="24"/>
          <w:szCs w:val="20"/>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89" w:name="_Toc513029227"/>
      <w:r/>
      <w:bookmarkStart w:id="90" w:name="_Toc16938543"/>
      <w:r/>
      <w:bookmarkStart w:id="91" w:name="_Toc20823299"/>
      <w:r>
        <w:rPr>
          <w:rFonts w:hint="eastAsia" w:ascii="宋体" w:hAnsi="宋体" w:eastAsia="Arial" w:cs="宋体"/>
          <w:b/>
          <w:bCs/>
          <w:sz w:val="24"/>
          <w:szCs w:val="20"/>
        </w:rPr>
        <w:t xml:space="preserve">19、投标文件</w:t>
      </w:r>
      <w:bookmarkEnd w:id="89"/>
      <w:r/>
      <w:bookmarkEnd w:id="90"/>
      <w:r/>
      <w:bookmarkEnd w:id="91"/>
      <w:r>
        <w:rPr>
          <w:rFonts w:hint="eastAsia" w:ascii="宋体" w:hAnsi="宋体" w:eastAsia="Arial"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2" w:name="_Toc513029228"/>
      <w:r/>
      <w:bookmarkStart w:id="93" w:name="_Toc20823300"/>
      <w:r/>
      <w:bookmarkStart w:id="94" w:name="_Toc16938544"/>
      <w:r>
        <w:rPr>
          <w:rFonts w:hint="eastAsia" w:ascii="宋体" w:hAnsi="宋体" w:eastAsia="Arial" w:cs="宋体"/>
          <w:b/>
          <w:bCs/>
          <w:sz w:val="24"/>
          <w:szCs w:val="20"/>
        </w:rPr>
        <w:t xml:space="preserve">20、投标文件的撤回和修改</w:t>
      </w:r>
      <w:bookmarkEnd w:id="92"/>
      <w:r/>
      <w:bookmarkEnd w:id="93"/>
      <w:r/>
      <w:bookmarkEnd w:id="94"/>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20.1投标文件的撤回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投标文件的修改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21、开标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22、评标委员会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22.1开标后，采购中心将立即组织评标委员会（以下简称评委会）进行评标。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23、评标过程的保密与公正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24、投标文件的澄清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24.1评标期间，评委会对投标文件中含义不明确、同类问题表述不一致或者有明显文字和计算错误的内容</w:t>
      </w:r>
      <w:r>
        <w:rPr>
          <w:rFonts w:hint="eastAsia" w:ascii="宋体" w:hAnsi="宋体" w:eastAsia="宋体" w:cs="宋体"/>
          <w:sz w:val="24"/>
          <w:szCs w:val="20"/>
        </w:rPr>
        <w:t xml:space="preserve">，</w:t>
      </w:r>
      <w:r>
        <w:rPr>
          <w:rFonts w:hint="eastAsia" w:ascii="宋体" w:hAnsi="宋体" w:eastAsia="Arial" w:cs="宋体"/>
          <w:sz w:val="24"/>
          <w:szCs w:val="20"/>
        </w:rPr>
        <w:t xml:space="preserve">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25、对投标文件的初审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25.3如果投标文件实质上没有响应招标文件的要求，评委会将予以拒绝，投标人不得通过修改或撤销</w:t>
      </w:r>
      <w:r>
        <w:rPr>
          <w:rFonts w:hint="eastAsia" w:ascii="宋体" w:hAnsi="宋体" w:eastAsia="宋体" w:cs="宋体"/>
          <w:sz w:val="24"/>
          <w:szCs w:val="20"/>
        </w:rPr>
        <w:t xml:space="preserve">不符</w:t>
      </w:r>
      <w:r>
        <w:rPr>
          <w:rFonts w:hint="eastAsia" w:ascii="宋体" w:hAnsi="宋体" w:eastAsia="Arial" w:cs="宋体"/>
          <w:sz w:val="24"/>
          <w:szCs w:val="20"/>
        </w:rPr>
        <w:t xml:space="preserve">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26、无效投标条款和废标条款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26.1.4投标人不具备招标文件中规</w:t>
      </w:r>
      <w:r>
        <w:rPr>
          <w:rFonts w:hint="eastAsia" w:ascii="宋体" w:hAnsi="宋体" w:eastAsia="宋体" w:cs="宋体"/>
          <w:sz w:val="24"/>
          <w:szCs w:val="20"/>
        </w:rPr>
        <w:t xml:space="preserve">定的</w:t>
      </w:r>
      <w:r>
        <w:rPr>
          <w:rFonts w:hint="eastAsia" w:ascii="宋体" w:hAnsi="宋体" w:eastAsia="Arial" w:cs="宋体"/>
          <w:sz w:val="24"/>
          <w:szCs w:val="20"/>
        </w:rPr>
        <w:t xml:space="preserve">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26.1.7不符合招标文件中规定的实质性要求和条件的</w:t>
      </w:r>
      <w:r>
        <w:rPr>
          <w:rFonts w:hint="eastAsia" w:ascii="宋体" w:hAnsi="宋体" w:eastAsia="Arial" w:cs="宋体"/>
          <w:i/>
          <w:iCs/>
          <w:sz w:val="24"/>
          <w:szCs w:val="20"/>
          <w:u w:val="single"/>
        </w:rPr>
        <w:t xml:space="preserve">（本招标文件中斜体且有下划线部分为实质性要求和条件）</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26.1.9投标文件含有采购人不能接受的附加条件的。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（一）评审过程中出现下列情形之一的，评标委员会应当启动异常低价投标审查程序：</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1.投标报价低于采购项目预算50%的，即投标报价&lt;采购项目预算×50%；</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3.评标委员会认定的供应商报价过低、有可能影响产品质量或者不能诚信履约的其他情形。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26.1.11投标文件未按照招标文件要求加盖CA电子公章的。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26.2.5因苏采云</w:t>
      </w:r>
      <w:r>
        <w:rPr>
          <w:rFonts w:hint="eastAsia" w:ascii="宋体" w:hAnsi="宋体" w:eastAsia="宋体" w:cs="宋体"/>
          <w:sz w:val="24"/>
          <w:szCs w:val="20"/>
        </w:rPr>
        <w:t xml:space="preserve">系统故障</w:t>
      </w:r>
      <w:r>
        <w:rPr>
          <w:rFonts w:hint="eastAsia" w:ascii="宋体" w:hAnsi="宋体" w:eastAsia="Arial" w:cs="宋体"/>
          <w:sz w:val="24"/>
          <w:szCs w:val="20"/>
        </w:rPr>
        <w:t xml:space="preserve">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27、确定中标单位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27.1中标候选人的选取原则和数量见招标文件第五章规定。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27.3采购中心将在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发布中标公告，公告期限为1个工作日。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27.4.2向采购人、采购中心行贿或者提供其他不正当利益的。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28、质疑处理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29、中标通知书</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30.签订合同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30.3签订合同后，</w:t>
      </w:r>
      <w:r>
        <w:rPr>
          <w:rFonts w:hint="eastAsia" w:ascii="宋体" w:hAnsi="宋体" w:eastAsia="Arial" w:cs="宋体"/>
          <w:i/>
          <w:iCs/>
          <w:sz w:val="24"/>
          <w:szCs w:val="20"/>
          <w:u w:val="single"/>
        </w:rPr>
        <w:t xml:space="preserve">中标人不得将合同标的进行转包</w:t>
      </w:r>
      <w:r>
        <w:rPr>
          <w:rFonts w:hint="eastAsia" w:ascii="宋体" w:hAnsi="宋体" w:eastAsia="Arial"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31、服务（包含与服务相关的货物）的追加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32.政府采购政策功能落实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32.1政府采购线上合同信用融资政策</w:t>
      </w:r>
      <w:r/>
    </w:p>
    <w:p>
      <w:pPr>
        <w:ind w:firstLine="482"/>
        <w:jc w:val="left"/>
        <w:spacing w:line="560" w:lineRule="exact"/>
        <w:widowControl/>
        <w:rPr>
          <w:rFonts w:ascii="宋体" w:hAnsi="宋体" w:eastAsia="宋体" w:cs="宋体"/>
          <w:sz w:val="24"/>
        </w:rPr>
      </w:pPr>
      <w:r>
        <w:rPr>
          <w:rFonts w:hint="eastAsia" w:ascii="宋体" w:hAnsi="宋体" w:eastAsia="Arial" w:cs="宋体"/>
          <w:sz w:val="24"/>
          <w:szCs w:val="20"/>
        </w:rPr>
        <w:t xml:space="preserve">根据《转发江苏省财政厅 中国人民银行南京分行&lt;关于深入推进政府采购线上合同信用融资工作的通知</w:t>
      </w:r>
      <w:r>
        <w:rPr>
          <w:rFonts w:hint="eastAsia" w:ascii="宋体" w:hAnsi="宋体" w:eastAsia="宋体" w:cs="宋体"/>
          <w:sz w:val="24"/>
          <w:szCs w:val="20"/>
        </w:rPr>
        <w:t xml:space="preserve">〉的通知》</w:t>
      </w:r>
      <w:r>
        <w:rPr>
          <w:rFonts w:hint="eastAsia" w:ascii="宋体" w:hAnsi="宋体" w:eastAsia="Arial" w:cs="宋体"/>
          <w:sz w:val="24"/>
          <w:szCs w:val="20"/>
        </w:rPr>
        <w:t xml:space="preserve">（盐财购〔2021〕20号）规定，中标供应商如有融资需求，可持政府采购合同在线向相关金融机构（具体信息详见江苏省政府采购网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Arial" w:cs="宋体"/>
          <w:sz w:val="24"/>
          <w:szCs w:val="20"/>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32.2进口产品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32.3中小企业、监狱企业及残疾人福利性单位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中小企业是</w:t>
      </w:r>
      <w:r>
        <w:rPr>
          <w:rFonts w:hint="eastAsia" w:ascii="宋体" w:hAnsi="宋体" w:eastAsia="Arial" w:cs="宋体"/>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32.4政府采购节能产品、环境标志产品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32.5绿色包装</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32.6政府采购创新产品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32.7绿色数据中心政策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本文件中若涉及到数据中心采购，采购人应依据《绿色数据中心政府采购需求标准（试行）》（财办库〔2023〕7号）文件精神</w:t>
      </w:r>
      <w:r>
        <w:rPr>
          <w:rFonts w:hint="eastAsia" w:ascii="宋体" w:hAnsi="宋体" w:eastAsia="Arial"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32.8履约保证金政策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rPr>
        <w:t xml:space="preserve">免收履约保证金</w:t>
      </w:r>
      <w:r>
        <w:rPr>
          <w:rFonts w:hint="eastAsia" w:ascii="宋体" w:hAnsi="宋体" w:eastAsia="宋体" w:cs="宋体"/>
          <w:sz w:val="24"/>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33.预付款制度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。在签订合同时，中标、成交供应商明确书面表示无需预付款或者主动要求降低预付款比例的，采购人可就预付款比例作相应调整。</w:t>
      </w:r>
      <w:bookmarkEnd w:id="52"/>
      <w:r/>
      <w:bookmarkEnd w:id="53"/>
      <w:r/>
      <w:bookmarkEnd w:id="79"/>
      <w:r/>
      <w:bookmarkEnd w:id="80"/>
      <w:r/>
      <w:bookmarkEnd w:id="81"/>
      <w:r/>
      <w:bookmarkEnd w:id="82"/>
      <w:r/>
      <w:r/>
    </w:p>
    <w:p>
      <w:pPr>
        <w:jc w:val="center"/>
        <w:spacing w:before="240" w:after="240"/>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bookmarkStart w:id="95" w:name="_Toc203060314"/>
      <w:r/>
      <w:bookmarkStart w:id="96" w:name="_Toc479757211"/>
      <w:r/>
      <w:bookmarkStart w:id="97" w:name="_Toc120614244"/>
      <w:r/>
      <w:bookmarkStart w:id="98" w:name="_Toc16938590"/>
      <w:r/>
      <w:bookmarkStart w:id="99" w:name="_Toc20823346"/>
      <w:r/>
      <w:bookmarkStart w:id="100" w:name="_Toc462564139"/>
      <w:r/>
      <w:bookmarkStart w:id="101" w:name="_Hlt16619350"/>
      <w:r/>
      <w:bookmarkStart w:id="102" w:name="_Hlt16619369"/>
      <w:r/>
      <w:r/>
    </w:p>
    <w:p>
      <w:pPr>
        <w:jc w:val="center"/>
        <w:spacing w:before="240" w:after="240"/>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eastAsia="方正小标宋_GBK" w:cs="宋体" w:hAnsiTheme="minorEastAsia"/>
          <w:sz w:val="44"/>
          <w:szCs w:val="20"/>
        </w:rPr>
      </w:r>
      <w:r/>
    </w:p>
    <w:p>
      <w:pPr>
        <w:jc w:val="center"/>
        <w:spacing w:before="240" w:after="240"/>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eastAsia="方正小标宋_GBK" w:cs="宋体" w:hAnsiTheme="minorEastAsia"/>
          <w:sz w:val="44"/>
          <w:szCs w:val="20"/>
        </w:rPr>
      </w:r>
      <w:r/>
    </w:p>
    <w:p>
      <w:pPr>
        <w:jc w:val="center"/>
        <w:spacing w:before="240" w:after="240"/>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eastAsia="方正小标宋_GBK" w:cs="宋体" w:hAnsiTheme="minorEastAsia"/>
          <w:sz w:val="44"/>
          <w:szCs w:val="20"/>
        </w:rPr>
      </w:r>
      <w:r/>
    </w:p>
    <w:p>
      <w:pPr>
        <w:jc w:val="center"/>
        <w:spacing w:before="240" w:after="240"/>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eastAsia="方正小标宋_GBK" w:cs="宋体" w:hAnsiTheme="minorEastAsia"/>
          <w:sz w:val="44"/>
          <w:szCs w:val="20"/>
        </w:rPr>
      </w:r>
      <w:r/>
    </w:p>
    <w:p>
      <w:pPr>
        <w:pStyle w:val="766"/>
      </w:pPr>
      <w:r/>
      <w:r/>
    </w:p>
    <w:p>
      <w:pPr>
        <w:pStyle w:val="766"/>
      </w:pPr>
      <w:r/>
      <w:r/>
    </w:p>
    <w:p>
      <w:pPr>
        <w:pStyle w:val="766"/>
      </w:pPr>
      <w:r/>
      <w:r/>
    </w:p>
    <w:p>
      <w:r/>
      <w:r/>
    </w:p>
    <w:p>
      <w:pPr>
        <w:jc w:val="center"/>
        <w:spacing w:before="240" w:after="240"/>
        <w:widowControl/>
        <w:rPr>
          <w:rFonts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第三章  合同</w:t>
      </w:r>
      <w:bookmarkEnd w:id="95"/>
      <w:r>
        <w:rPr>
          <w:rFonts w:hint="eastAsia" w:ascii="黑体" w:hAnsi="黑体" w:eastAsia="黑体" w:cs="黑体"/>
          <w:sz w:val="44"/>
          <w:szCs w:val="20"/>
        </w:rPr>
        <w:t xml:space="preserve">文本</w:t>
      </w:r>
      <w:r/>
    </w:p>
    <w:p>
      <w:pPr>
        <w:pStyle w:val="787"/>
        <w:jc w:val="center"/>
        <w:spacing w:before="0" w:after="0" w:line="240" w:lineRule="auto"/>
        <w:rPr>
          <w:rFonts w:ascii="宋体" w:hAnsi="宋体" w:eastAsia="Arial" w:cs="宋体"/>
          <w:sz w:val="24"/>
          <w:szCs w:val="20"/>
        </w:rPr>
      </w:pPr>
      <w:r/>
      <w:bookmarkStart w:id="103" w:name="_Toc16938559"/>
      <w:r/>
      <w:bookmarkStart w:id="104" w:name="_Toc20823315"/>
      <w:r/>
      <w:bookmarkStart w:id="105" w:name="_Toc513029243"/>
      <w:r>
        <w:rPr>
          <w:rFonts w:hint="eastAsia" w:ascii="宋体" w:hAnsi="宋体" w:eastAsia="Arial" w:cs="宋体"/>
          <w:sz w:val="24"/>
          <w:szCs w:val="20"/>
        </w:rPr>
        <w:t xml:space="preserve">以下为中标后签订本项目合同的通用条款，中标人不得提出实质性的修改。</w:t>
      </w:r>
      <w:bookmarkEnd w:id="103"/>
      <w:r/>
      <w:bookmarkEnd w:id="104"/>
      <w:r/>
      <w:bookmarkEnd w:id="105"/>
      <w:r/>
      <w:r/>
    </w:p>
    <w:p>
      <w:pPr>
        <w:pStyle w:val="787"/>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787"/>
        <w:jc w:val="center"/>
        <w:spacing w:before="0" w:after="0" w:line="240" w:lineRule="auto"/>
        <w:rPr>
          <w:rFonts w:ascii="方正小标宋_GBK" w:eastAsia="方正小标宋_GBK" w:hAnsiTheme="minorEastAsia"/>
          <w:bCs/>
        </w:rPr>
      </w:pPr>
      <w:r>
        <w:rPr>
          <w:rFonts w:hint="eastAsia" w:ascii="方正小标宋_GBK" w:eastAsia="方正小标宋_GBK" w:cs="宋体" w:hAnsiTheme="minorEastAsia"/>
          <w:bCs/>
        </w:rPr>
        <w:t xml:space="preserve">盐城市政府采购合同（合同编号）</w:t>
      </w:r>
      <w:r/>
    </w:p>
    <w:p>
      <w:pPr>
        <w:ind w:firstLine="482"/>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项目名称：</w:t>
      </w:r>
      <w:r>
        <w:rPr>
          <w:rFonts w:hint="eastAsia" w:ascii="宋体" w:hAnsi="宋体" w:eastAsia="宋体" w:cs="宋体"/>
          <w:sz w:val="24"/>
          <w:szCs w:val="20"/>
          <w:u w:val="single"/>
        </w:rPr>
        <w:t xml:space="preserve">盐城市公安局大数据支队新警综平台备份库建设项目</w:t>
      </w:r>
      <w:r/>
    </w:p>
    <w:p>
      <w:pPr>
        <w:ind w:firstLine="482"/>
        <w:jc w:val="left"/>
        <w:spacing w:line="560" w:lineRule="exact"/>
        <w:widowControl/>
        <w:rPr>
          <w:rFonts w:ascii="宋体" w:hAnsi="宋体" w:eastAsia="宋体" w:cs="宋体"/>
          <w:sz w:val="24"/>
          <w:szCs w:val="20"/>
          <w:u w:val="single"/>
        </w:rPr>
      </w:pPr>
      <w:r>
        <w:rPr>
          <w:rFonts w:hint="eastAsia" w:ascii="宋体" w:hAnsi="宋体" w:eastAsia="Arial" w:cs="宋体"/>
          <w:sz w:val="24"/>
          <w:szCs w:val="20"/>
        </w:rPr>
        <w:t xml:space="preserve">项目编号：</w:t>
      </w:r>
      <w:r>
        <w:rPr>
          <w:rFonts w:hint="eastAsia" w:ascii="宋体" w:hAnsi="宋体" w:eastAsia="宋体" w:cs="宋体"/>
          <w:sz w:val="24"/>
          <w:szCs w:val="20"/>
        </w:rPr>
        <w:t xml:space="preserve">JSZC-320900-JZCG-G2025-0063</w:t>
      </w:r>
      <w:r/>
    </w:p>
    <w:p>
      <w:pPr>
        <w:ind w:firstLine="482"/>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甲方：（买方）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乙方：（卖方）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甲、乙双方根据盐城市政府采购中心</w:t>
      </w:r>
      <w:r>
        <w:rPr>
          <w:rFonts w:hint="eastAsia" w:ascii="宋体" w:hAnsi="宋体" w:eastAsia="宋体" w:cs="宋体"/>
          <w:sz w:val="24"/>
          <w:szCs w:val="20"/>
          <w:u w:val="single"/>
        </w:rPr>
        <w:t xml:space="preserve">盐城市公安局大数据支队新警综平台备份库建设项目</w:t>
      </w:r>
      <w:r>
        <w:rPr>
          <w:rFonts w:hint="eastAsia" w:ascii="宋体" w:hAnsi="宋体" w:eastAsia="Arial" w:cs="宋体"/>
          <w:sz w:val="24"/>
          <w:szCs w:val="20"/>
        </w:rPr>
        <w:t xml:space="preserve">公开招标的结果，签署本合同。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一、合同内容</w:t>
      </w:r>
      <w:r/>
    </w:p>
    <w:p>
      <w:pPr>
        <w:ind w:firstLine="482"/>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1.1 标的名称：</w:t>
      </w:r>
      <w:r>
        <w:rPr>
          <w:rFonts w:hint="eastAsia" w:ascii="宋体" w:hAnsi="宋体" w:eastAsia="宋体" w:cs="宋体"/>
          <w:sz w:val="24"/>
          <w:szCs w:val="20"/>
          <w:u w:val="single"/>
        </w:rPr>
        <w:t xml:space="preserve">盐城市公安局大数据支队新警综平台备份库建设项目</w:t>
      </w:r>
      <w:r/>
    </w:p>
    <w:p>
      <w:pPr>
        <w:ind w:firstLine="482"/>
        <w:jc w:val="left"/>
        <w:spacing w:line="560" w:lineRule="exact"/>
        <w:widowControl/>
        <w:rPr>
          <w:rFonts w:ascii="宋体" w:hAnsi="宋体" w:eastAsia="宋体" w:cs="宋体"/>
          <w:sz w:val="24"/>
          <w:szCs w:val="20"/>
          <w:u w:val="single"/>
        </w:rPr>
      </w:pPr>
      <w:r>
        <w:rPr>
          <w:rFonts w:hint="eastAsia" w:ascii="宋体" w:hAnsi="宋体" w:eastAsia="Arial" w:cs="宋体"/>
          <w:sz w:val="24"/>
          <w:szCs w:val="20"/>
        </w:rPr>
        <w:t xml:space="preserve">1.2标的质量：</w:t>
      </w:r>
      <w:r>
        <w:rPr>
          <w:rFonts w:hint="eastAsia" w:ascii="宋体" w:hAnsi="宋体" w:eastAsia="宋体" w:cs="宋体"/>
          <w:sz w:val="24"/>
          <w:szCs w:val="20"/>
          <w:u w:val="single"/>
        </w:rPr>
        <w:t xml:space="preserve">详见采购需求</w:t>
      </w:r>
      <w:r/>
    </w:p>
    <w:p>
      <w:pPr>
        <w:ind w:firstLine="482"/>
        <w:jc w:val="left"/>
        <w:spacing w:line="560" w:lineRule="exact"/>
        <w:widowControl/>
        <w:rPr>
          <w:rFonts w:ascii="宋体" w:hAnsi="宋体" w:eastAsia="宋体" w:cs="宋体"/>
          <w:sz w:val="24"/>
          <w:szCs w:val="20"/>
          <w:u w:val="single"/>
        </w:rPr>
      </w:pPr>
      <w:r>
        <w:rPr>
          <w:rFonts w:hint="eastAsia" w:ascii="宋体" w:hAnsi="宋体" w:eastAsia="Arial" w:cs="宋体"/>
          <w:sz w:val="24"/>
          <w:szCs w:val="20"/>
        </w:rPr>
        <w:t xml:space="preserve">1.3 标的数量（规模）：</w:t>
      </w:r>
      <w:r>
        <w:rPr>
          <w:rFonts w:hint="eastAsia" w:ascii="宋体" w:hAnsi="宋体" w:eastAsia="宋体" w:cs="宋体"/>
          <w:sz w:val="24"/>
          <w:szCs w:val="20"/>
          <w:u w:val="single"/>
        </w:rPr>
        <w:t xml:space="preserve">详见采购需求</w:t>
      </w:r>
      <w:r/>
    </w:p>
    <w:p>
      <w:pPr>
        <w:ind w:firstLine="482"/>
        <w:jc w:val="left"/>
        <w:spacing w:line="560" w:lineRule="exact"/>
        <w:widowControl/>
        <w:rPr>
          <w:rFonts w:ascii="宋体" w:hAnsi="宋体" w:eastAsia="Arial" w:cs="宋体"/>
          <w:sz w:val="24"/>
          <w:szCs w:val="20"/>
          <w:u w:val="single"/>
        </w:rPr>
      </w:pPr>
      <w:r>
        <w:rPr>
          <w:rFonts w:hint="eastAsia" w:ascii="宋体" w:hAnsi="宋体" w:eastAsia="Arial" w:cs="宋体"/>
          <w:sz w:val="24"/>
          <w:szCs w:val="20"/>
        </w:rPr>
        <w:t xml:space="preserve">1.4 履行时间（期限）</w:t>
      </w:r>
      <w:r>
        <w:rPr>
          <w:rFonts w:hint="eastAsia" w:asciiTheme="minorEastAsia" w:hAnsiTheme="minorEastAsia" w:cstheme="minorEastAsia"/>
          <w:sz w:val="24"/>
          <w:szCs w:val="20"/>
        </w:rPr>
        <w:t xml:space="preserve">：</w:t>
      </w:r>
      <w:r>
        <w:rPr>
          <w:rFonts w:hint="eastAsia" w:ascii="宋体" w:hAnsi="宋体" w:eastAsia="宋体" w:cs="宋体"/>
          <w:sz w:val="24"/>
          <w:szCs w:val="20"/>
          <w:u w:val="single"/>
        </w:rPr>
        <w:t xml:space="preserve">1</w:t>
      </w:r>
      <w:r>
        <w:rPr>
          <w:rFonts w:ascii="宋体" w:hAnsi="宋体" w:eastAsia="宋体" w:cs="宋体"/>
          <w:sz w:val="24"/>
          <w:szCs w:val="20"/>
          <w:u w:val="single"/>
        </w:rPr>
        <w:t xml:space="preserve">20</w:t>
      </w:r>
      <w:r>
        <w:rPr>
          <w:rFonts w:hint="eastAsia" w:ascii="宋体" w:hAnsi="宋体" w:eastAsia="宋体" w:cs="宋体"/>
          <w:sz w:val="24"/>
          <w:szCs w:val="20"/>
          <w:u w:val="single"/>
        </w:rPr>
        <w:t xml:space="preserve">天</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 履行地点：</w:t>
      </w:r>
      <w:r>
        <w:rPr>
          <w:rFonts w:hint="eastAsia" w:ascii="宋体" w:hAnsi="宋体" w:eastAsia="宋体" w:cs="宋体"/>
          <w:sz w:val="24"/>
          <w:szCs w:val="20"/>
          <w:u w:val="single"/>
        </w:rPr>
        <w:t xml:space="preserve">盐城市公安局</w:t>
      </w:r>
      <w:r>
        <w:rPr>
          <w:rFonts w:hint="eastAsia" w:ascii="宋体" w:hAnsi="宋体" w:eastAsia="Arial" w:cs="宋体"/>
          <w:sz w:val="24"/>
          <w:szCs w:val="20"/>
          <w:u w:val="single"/>
        </w:rPr>
        <w:t xml:space="preserve">指定地点</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1.6履行方式：</w:t>
      </w:r>
      <w:r>
        <w:rPr>
          <w:rFonts w:hint="eastAsia" w:ascii="宋体" w:hAnsi="宋体" w:eastAsia="宋体" w:cs="宋体"/>
          <w:sz w:val="24"/>
          <w:szCs w:val="20"/>
          <w:u w:val="single"/>
        </w:rPr>
        <w:t xml:space="preserve">按甲方指定方式</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二、合同金额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2.1本合同金额为（大写）：</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 圆（_______________元）人民币或其他币种。</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三、技术资料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3.1乙方应按招标文件规定的时间向甲方提供服务（包含与服务相关的货物）的有关技术资料。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四、知识产权</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w:t>
      </w:r>
      <w:r>
        <w:rPr>
          <w:rFonts w:hint="eastAsia" w:ascii="宋体" w:hAnsi="宋体" w:eastAsia="宋体" w:cs="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五、产权担保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5.1乙方保证所交付的服务（包含与服务相关的货物）的所有权完全属于乙方且无任何抵押、查封等产权瑕疵。</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6.1乙方交纳人民币</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元作为本合同的履约保证金。</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备注：履约保证金金额为合同金额的10%，采购人应当对AA评级及以上政府采购供应商（需提供信用管理部门备案的第三方信用报告）</w:t>
      </w:r>
      <w:r>
        <w:rPr>
          <w:rFonts w:hint="eastAsia" w:asciiTheme="minorEastAsia" w:hAnsiTheme="minorEastAsia" w:cstheme="minorEastAsia"/>
          <w:b/>
          <w:bCs/>
          <w:sz w:val="24"/>
          <w:szCs w:val="20"/>
        </w:rPr>
        <w:t xml:space="preserve">免收履约保证金</w:t>
      </w:r>
      <w:r>
        <w:rPr>
          <w:rFonts w:hint="eastAsia" w:asciiTheme="minorEastAsia" w:hAnsiTheme="minorEastAsia" w:cstheme="minorEastAsia"/>
          <w:sz w:val="24"/>
          <w:szCs w:val="20"/>
        </w:rPr>
        <w:t xml:space="preserve">。）</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6.2确需收取履约保证金的，履约保证金的缴纳形式：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6.3合同履行结束后，甲方应及时退还交纳的履约保证金。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6.4履约保证金的退还：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6.4.1方式：退还至乙方缴纳履约保证金的账户。如为保函，在到期时自行失效。</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6.4.2时间：验收合格且甲方收到发票后30日内。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6.4.3条件：按合同要求全部履约完成并经甲方验收合格，且甲方收到乙方出具的发票。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6.4.4不予退还情形：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（2）乙方不履行与采购人订立的合同的；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（3）乙方所供货物或服务不符合招标文件规定要求的；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（4）乙方采取欺骗、弄虚作假方式投标的或与</w:t>
      </w:r>
      <w:r>
        <w:rPr>
          <w:rFonts w:hint="eastAsia" w:ascii="宋体" w:hAnsi="宋体" w:eastAsia="宋体" w:cs="宋体"/>
          <w:sz w:val="24"/>
          <w:szCs w:val="20"/>
        </w:rPr>
        <w:t xml:space="preserve">其他</w:t>
      </w:r>
      <w:r>
        <w:rPr>
          <w:rFonts w:hint="eastAsia" w:ascii="宋体" w:hAnsi="宋体" w:eastAsia="Arial" w:cs="宋体"/>
          <w:sz w:val="24"/>
          <w:szCs w:val="20"/>
        </w:rPr>
        <w:t xml:space="preserve">投标人串通投标的；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（5）乙方将合同内容转包、违法分包的；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（6）乙方故意捏造事实或伪造证明材料，进行虚假恶意投诉或反映的。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七、合同转包或分包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7.1乙方不得将合同标的转包给他人履行。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7.2乙方应当按照投标文件中提供的分包意向协议履行合同。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7.3乙方如有转包或未经甲方同意的分包行为，甲方有权解除合同。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八、合同款项支付</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8.1合同款项的支付方式及进度安排</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8.1.1 预付款支付时间：</w:t>
      </w:r>
      <w:r>
        <w:rPr>
          <w:rFonts w:hint="eastAsia" w:ascii="宋体" w:hAnsi="宋体" w:eastAsia="Arial" w:cs="宋体"/>
          <w:sz w:val="24"/>
          <w:szCs w:val="20"/>
        </w:rPr>
        <w:t xml:space="preserve">合同签订后，乙方收到预付款发票后10个工作日内，预付款支付比例：合同金额的30%。</w:t>
      </w:r>
      <w:r/>
    </w:p>
    <w:p>
      <w:pPr>
        <w:ind w:firstLine="482"/>
        <w:jc w:val="left"/>
        <w:spacing w:line="560" w:lineRule="exact"/>
        <w:widowControl/>
        <w:rPr>
          <w:rFonts w:ascii="宋体" w:hAnsi="宋体" w:eastAsia="宋体" w:cs="宋体"/>
          <w:b/>
          <w:bCs/>
          <w:sz w:val="24"/>
        </w:rPr>
      </w:pPr>
      <w:r>
        <w:rPr>
          <w:rFonts w:hint="eastAsia" w:ascii="宋体" w:hAnsi="宋体" w:eastAsia="Arial" w:cs="宋体"/>
          <w:b/>
          <w:bCs/>
          <w:sz w:val="24"/>
          <w:szCs w:val="20"/>
        </w:rPr>
        <w:t xml:space="preserve">8.1.2 尾款支付时间：</w:t>
      </w:r>
      <w:r>
        <w:rPr>
          <w:rFonts w:hint="eastAsia" w:ascii="宋体" w:hAnsi="宋体" w:eastAsia="宋体" w:cs="微软雅黑"/>
          <w:sz w:val="24"/>
          <w:szCs w:val="20"/>
        </w:rPr>
        <w:t xml:space="preserve">项目建设内容完成并试运行三个月，验收合格后支付至合同价的</w:t>
      </w:r>
      <w:r>
        <w:rPr>
          <w:rFonts w:hint="eastAsia" w:ascii="宋体" w:hAnsi="宋体" w:eastAsia="宋体" w:cs="宋体"/>
          <w:sz w:val="24"/>
          <w:szCs w:val="20"/>
        </w:rPr>
        <w:t xml:space="preserve">70%</w:t>
      </w:r>
      <w:r>
        <w:rPr>
          <w:rFonts w:hint="eastAsia" w:ascii="宋体" w:hAnsi="宋体" w:eastAsia="宋体" w:cs="微软雅黑"/>
          <w:sz w:val="24"/>
          <w:szCs w:val="20"/>
        </w:rPr>
        <w:t xml:space="preserve">；审计结束后付至审定价的</w:t>
      </w:r>
      <w:r>
        <w:rPr>
          <w:rFonts w:hint="eastAsia" w:ascii="宋体" w:hAnsi="宋体" w:eastAsia="宋体" w:cs="宋体"/>
          <w:sz w:val="24"/>
          <w:szCs w:val="20"/>
        </w:rPr>
        <w:t xml:space="preserve">95%</w:t>
      </w:r>
      <w:r>
        <w:rPr>
          <w:rFonts w:hint="eastAsia" w:ascii="宋体" w:hAnsi="宋体" w:eastAsia="宋体" w:cs="微软雅黑"/>
          <w:sz w:val="24"/>
          <w:szCs w:val="20"/>
        </w:rPr>
        <w:t xml:space="preserve">；尾款于项目验收合格满三年后一次性付清（无息）。</w:t>
      </w:r>
      <w:r/>
    </w:p>
    <w:p>
      <w:pPr>
        <w:ind w:firstLine="482"/>
        <w:jc w:val="left"/>
        <w:spacing w:line="560" w:lineRule="exact"/>
        <w:widowControl/>
        <w:tabs>
          <w:tab w:val="left" w:pos="2730" w:leader="none"/>
        </w:tabs>
        <w:rPr>
          <w:rFonts w:ascii="宋体" w:hAnsi="宋体" w:eastAsia="宋体" w:cs="宋体"/>
          <w:b/>
          <w:bCs/>
          <w:sz w:val="24"/>
          <w:szCs w:val="20"/>
        </w:rPr>
        <w:outlineLvl w:val="1"/>
      </w:pPr>
      <w:r>
        <w:rPr>
          <w:rFonts w:hint="eastAsia" w:ascii="宋体" w:hAnsi="宋体" w:eastAsia="Arial" w:cs="宋体"/>
          <w:b/>
          <w:bCs/>
          <w:sz w:val="24"/>
          <w:szCs w:val="20"/>
        </w:rPr>
        <w:t xml:space="preserve">九、税费</w:t>
      </w:r>
      <w:r>
        <w:rPr>
          <w:rFonts w:hint="eastAsia" w:ascii="宋体" w:hAnsi="宋体" w:eastAsia="宋体" w:cs="宋体"/>
          <w:b/>
          <w:bCs/>
          <w:sz w:val="24"/>
          <w:szCs w:val="20"/>
        </w:rPr>
        <w:tab/>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9.1本合同执行中相关的一切税费均由乙方负担。</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十、项目验收</w:t>
      </w:r>
      <w:r/>
    </w:p>
    <w:p>
      <w:pPr>
        <w:ind w:firstLine="477"/>
        <w:spacing w:line="500" w:lineRule="exact"/>
        <w:rPr>
          <w:rFonts w:ascii="宋体" w:hAnsi="宋体" w:eastAsia="宋体" w:cs="宋体"/>
          <w:sz w:val="24"/>
        </w:rPr>
      </w:pPr>
      <w:r>
        <w:rPr>
          <w:rFonts w:hint="eastAsia" w:ascii="宋体" w:hAnsi="宋体" w:eastAsia="宋体" w:cs="宋体"/>
          <w:sz w:val="24"/>
        </w:rPr>
        <w:t xml:space="preserve">1、</w:t>
      </w:r>
      <w:bookmarkStart w:id="106" w:name="_Hlk214263167"/>
      <w:r>
        <w:rPr>
          <w:rFonts w:hint="eastAsia" w:ascii="宋体" w:hAnsi="宋体" w:eastAsia="宋体" w:cs="宋体"/>
          <w:sz w:val="24"/>
        </w:rPr>
        <w:t xml:space="preserve">甲方对乙方提交的产品或服务依据招标文件上的项目需求要求、乙方响应文件及国家有关质量标准进行验收</w:t>
      </w:r>
      <w:bookmarkEnd w:id="106"/>
      <w:r>
        <w:rPr>
          <w:rFonts w:hint="eastAsia" w:ascii="宋体" w:hAnsi="宋体" w:eastAsia="宋体" w:cs="宋体"/>
          <w:sz w:val="24"/>
        </w:rPr>
        <w:t xml:space="preserve">。</w:t>
      </w:r>
      <w:r/>
    </w:p>
    <w:p>
      <w:pPr>
        <w:ind w:firstLine="477"/>
        <w:spacing w:line="500" w:lineRule="exact"/>
        <w:rPr>
          <w:rFonts w:ascii="宋体" w:hAnsi="宋体" w:eastAsia="宋体" w:cs="宋体"/>
          <w:sz w:val="24"/>
        </w:rPr>
      </w:pPr>
      <w:r>
        <w:rPr>
          <w:rFonts w:hint="eastAsia" w:ascii="宋体" w:hAnsi="宋体" w:eastAsia="宋体" w:cs="宋体"/>
          <w:sz w:val="24"/>
        </w:rPr>
        <w:t xml:space="preserve">2、乙方交货前应对产品或服务作出全面检查和对验收文件进行整理，并列出清单，作为甲方验收和使用的技术条件依据，检验的结果应随服务一起提交甲方。</w:t>
      </w:r>
      <w:r/>
    </w:p>
    <w:p>
      <w:pPr>
        <w:ind w:firstLine="477"/>
        <w:spacing w:line="500" w:lineRule="exact"/>
        <w:rPr>
          <w:rFonts w:ascii="宋体" w:hAnsi="宋体" w:eastAsia="宋体" w:cs="宋体"/>
          <w:sz w:val="24"/>
        </w:rPr>
      </w:pPr>
      <w:r>
        <w:rPr>
          <w:rFonts w:hint="eastAsia" w:ascii="宋体" w:hAnsi="宋体" w:eastAsia="宋体" w:cs="宋体"/>
          <w:sz w:val="24"/>
        </w:rPr>
        <w:t xml:space="preserve">3、甲方对乙方提供的产品或服务在使用前，乙方需负责培训甲方的使用操作人员，并协助甲方一起试用，直到符合技术要求，甲方才做最终验收。</w:t>
      </w:r>
      <w:r/>
    </w:p>
    <w:p>
      <w:pPr>
        <w:ind w:firstLine="477"/>
        <w:spacing w:line="500" w:lineRule="exact"/>
        <w:rPr>
          <w:rFonts w:ascii="宋体" w:hAnsi="宋体" w:eastAsia="宋体" w:cs="宋体"/>
          <w:sz w:val="24"/>
        </w:rPr>
      </w:pPr>
      <w:r>
        <w:rPr>
          <w:rFonts w:hint="eastAsia" w:ascii="宋体" w:hAnsi="宋体" w:eastAsia="宋体" w:cs="宋体"/>
          <w:sz w:val="24"/>
        </w:rPr>
        <w:t xml:space="preserve">4、对技术复杂的产品或服务，甲方可请国家认可的专业检测机构参与初步验收及最终验收（验收费用由乙方承担），并由其出具质量检测报告。</w:t>
      </w:r>
      <w:r/>
    </w:p>
    <w:p>
      <w:pPr>
        <w:ind w:firstLine="477"/>
        <w:spacing w:line="500" w:lineRule="exact"/>
        <w:rPr>
          <w:rFonts w:ascii="宋体" w:hAnsi="宋体" w:eastAsia="宋体" w:cs="宋体"/>
          <w:sz w:val="24"/>
        </w:rPr>
      </w:pPr>
      <w:r>
        <w:rPr>
          <w:rFonts w:hint="eastAsia" w:ascii="宋体" w:hAnsi="宋体" w:eastAsia="宋体" w:cs="宋体"/>
          <w:sz w:val="24"/>
        </w:rPr>
        <w:t xml:space="preserve">5、验收时乙方必须在现场，验收完毕后作出验收结果报告；验收费用由乙方承担。</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十一、违约责任</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rPr>
        <w:t xml:space="preserve">11.1甲方无正当理由拒绝接受乙方提供服务的，甲方向乙方偿付拒绝接受服务合同价款总值</w:t>
      </w:r>
      <w:bookmarkStart w:id="107" w:name="OLE_LINK5"/>
      <w:r/>
      <w:bookmarkStart w:id="108" w:name="OLE_LINK6"/>
      <w:r>
        <w:rPr>
          <w:rFonts w:hint="eastAsia" w:ascii="宋体" w:hAnsi="宋体" w:eastAsia="Arial" w:cs="宋体"/>
          <w:sz w:val="24"/>
          <w:szCs w:val="20"/>
          <w:u w:val="single"/>
        </w:rPr>
        <w:t xml:space="preserve"> </w:t>
      </w:r>
      <w:r>
        <w:rPr>
          <w:rFonts w:hint="eastAsia" w:ascii="宋体" w:hAnsi="宋体" w:cs="宋体"/>
          <w:sz w:val="24"/>
          <w:szCs w:val="20"/>
          <w:u w:val="single"/>
        </w:rPr>
        <w:t xml:space="preserve">5%</w:t>
      </w:r>
      <w:r>
        <w:rPr>
          <w:rFonts w:hint="eastAsia" w:ascii="宋体" w:hAnsi="宋体" w:eastAsia="Arial" w:cs="宋体"/>
          <w:sz w:val="24"/>
          <w:szCs w:val="20"/>
          <w:u w:val="single"/>
        </w:rPr>
        <w:t xml:space="preserve"> </w:t>
      </w:r>
      <w:bookmarkEnd w:id="107"/>
      <w:r/>
      <w:bookmarkEnd w:id="108"/>
      <w:r>
        <w:rPr>
          <w:rFonts w:hint="eastAsia" w:ascii="宋体" w:hAnsi="宋体" w:eastAsia="Arial" w:cs="宋体"/>
          <w:sz w:val="24"/>
          <w:szCs w:val="20"/>
        </w:rPr>
        <w:t xml:space="preserve">的违约金。</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rPr>
        <w:t xml:space="preserve">11.2甲方无故逾期验收和办理合同款项支付手续的,甲方应按逾期付款总额</w:t>
      </w:r>
      <w:r/>
    </w:p>
    <w:p>
      <w:pPr>
        <w:jc w:val="left"/>
        <w:spacing w:line="560" w:lineRule="exact"/>
        <w:widowControl/>
        <w:rPr>
          <w:rFonts w:ascii="宋体" w:hAnsi="宋体" w:eastAsia="Arial" w:cs="宋体"/>
          <w:sz w:val="24"/>
          <w:szCs w:val="20"/>
        </w:rPr>
      </w:pPr>
      <w:r>
        <w:rPr>
          <w:rFonts w:hint="eastAsia" w:ascii="宋体" w:hAnsi="宋体" w:cs="宋体"/>
          <w:sz w:val="24"/>
          <w:szCs w:val="20"/>
          <w:u w:val="single"/>
        </w:rPr>
        <w:t xml:space="preserve">0.</w:t>
      </w:r>
      <w:r>
        <w:rPr>
          <w:rFonts w:hint="eastAsia" w:ascii="宋体" w:hAnsi="宋体" w:eastAsia="Arial" w:cs="宋体"/>
          <w:sz w:val="24"/>
          <w:szCs w:val="20"/>
          <w:u w:val="single"/>
        </w:rPr>
        <w:t xml:space="preserve">1%</w:t>
      </w:r>
      <w:r>
        <w:rPr>
          <w:rFonts w:hint="eastAsia" w:ascii="宋体" w:hAnsi="宋体" w:eastAsia="宋体" w:cs="宋体"/>
          <w:sz w:val="24"/>
          <w:szCs w:val="20"/>
          <w:u w:val="single"/>
        </w:rPr>
        <w:t xml:space="preserve"> </w:t>
      </w:r>
      <w:r>
        <w:rPr>
          <w:rFonts w:hint="eastAsia" w:ascii="宋体" w:hAnsi="宋体" w:eastAsia="Arial" w:cs="宋体"/>
          <w:sz w:val="24"/>
          <w:szCs w:val="20"/>
        </w:rPr>
        <w:t xml:space="preserve">的每日向乙方支付违约金。</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sz w:val="24"/>
          <w:szCs w:val="20"/>
          <w:u w:val="single"/>
        </w:rPr>
        <w:t xml:space="preserve"> </w:t>
      </w:r>
      <w:r>
        <w:rPr>
          <w:rFonts w:hint="eastAsia" w:ascii="宋体" w:hAnsi="宋体" w:cs="宋体"/>
          <w:sz w:val="24"/>
          <w:szCs w:val="20"/>
          <w:u w:val="single"/>
        </w:rPr>
        <w:t xml:space="preserve">5%</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的违约金，如造成甲方损失超过违约金的，超出部分由乙方继续承担赔偿责任。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11.4乙方所提供服务的标准不符合合同规定及招标文件规定标准的，甲方有权拒绝接受服务，并可单方面解除合同。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十二、不可抗力事件处理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12.2不可抗力事件发生后，应立即通知对方，并寄送有关权威机构出具的证明。</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12.3不可抗力事件延续120天以上，双方应通过友好协商，确定是否继续履行合同。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十三、解决争议的方法</w:t>
      </w:r>
      <w:r/>
    </w:p>
    <w:p>
      <w:pPr>
        <w:ind w:firstLine="477"/>
        <w:spacing w:line="500" w:lineRule="exact"/>
        <w:rPr>
          <w:rFonts w:ascii="宋体" w:hAnsi="宋体" w:eastAsia="宋体" w:cs="宋体"/>
          <w:sz w:val="24"/>
        </w:rPr>
      </w:pPr>
      <w:r>
        <w:rPr>
          <w:rFonts w:hint="eastAsia" w:ascii="宋体" w:hAnsi="宋体" w:eastAsia="Arial" w:cs="宋体"/>
          <w:sz w:val="24"/>
          <w:szCs w:val="20"/>
        </w:rPr>
        <w:t xml:space="preserve">13.1双方在签订、履行合同中所发生的一切争议，应通过友好协商解决。如协商不成，</w:t>
      </w:r>
      <w:r>
        <w:rPr>
          <w:rFonts w:hint="eastAsia" w:ascii="宋体" w:hAnsi="宋体" w:eastAsia="宋体" w:cs="宋体"/>
          <w:sz w:val="24"/>
        </w:rPr>
        <w:t xml:space="preserve">可向合同签订地法院起诉，合同签订地在此约定为盐城市。</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十四、合同生效及其他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14.1合同经双方法定代表人或授权委托代表人签字并加盖单位公章后生效。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14.2遵照《中华人民共和国民法典》、《中华人民共和国政府采购法》有关条文执行。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14.3 本合同正本一式</w:t>
      </w:r>
      <w:r>
        <w:rPr>
          <w:rFonts w:hint="eastAsia" w:ascii="宋体" w:hAnsi="宋体" w:eastAsia="宋体" w:cs="宋体"/>
          <w:sz w:val="24"/>
          <w:szCs w:val="20"/>
        </w:rPr>
        <w:t xml:space="preserve">6</w:t>
      </w:r>
      <w:r>
        <w:rPr>
          <w:rFonts w:hint="eastAsia" w:ascii="宋体" w:hAnsi="宋体" w:eastAsia="Arial" w:cs="宋体"/>
          <w:sz w:val="24"/>
          <w:szCs w:val="20"/>
        </w:rPr>
        <w:t xml:space="preserve">份，具有同等法律效力，甲方、乙方各执</w:t>
      </w:r>
      <w:r>
        <w:rPr>
          <w:rFonts w:hint="eastAsia" w:ascii="宋体" w:hAnsi="宋体" w:cs="宋体"/>
          <w:sz w:val="24"/>
          <w:szCs w:val="20"/>
        </w:rPr>
        <w:t xml:space="preserve">3</w:t>
      </w:r>
      <w:r>
        <w:rPr>
          <w:rFonts w:hint="eastAsia" w:ascii="宋体" w:hAnsi="宋体" w:eastAsia="Arial" w:cs="宋体"/>
          <w:sz w:val="24"/>
          <w:szCs w:val="20"/>
        </w:rPr>
        <w:t xml:space="preserve">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甲方：             </w:t>
      </w:r>
      <w:r>
        <w:rPr>
          <w:rFonts w:hint="eastAsia" w:ascii="宋体" w:hAnsi="宋体" w:eastAsia="宋体" w:cs="宋体"/>
          <w:sz w:val="24"/>
          <w:szCs w:val="20"/>
        </w:rPr>
        <w:t xml:space="preserve">  </w:t>
      </w:r>
      <w:r>
        <w:rPr>
          <w:rFonts w:hint="eastAsia" w:ascii="宋体" w:hAnsi="宋体" w:eastAsia="Arial" w:cs="宋体"/>
          <w:sz w:val="24"/>
          <w:szCs w:val="20"/>
        </w:rPr>
        <w:t xml:space="preserve">乙方：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地址：              地址：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法定代表人或授权代表：      法定代表人或授权代表：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联系电话：                  联系电话：</w:t>
      </w:r>
      <w:r/>
    </w:p>
    <w:p>
      <w:pPr>
        <w:ind w:firstLine="482"/>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                           </w:t>
      </w:r>
      <w:r>
        <w:rPr>
          <w:rFonts w:hint="eastAsia" w:ascii="宋体" w:hAnsi="宋体" w:eastAsia="Arial" w:cs="宋体"/>
          <w:sz w:val="24"/>
          <w:szCs w:val="20"/>
        </w:rPr>
        <w:t xml:space="preserve">签订日期：  年   月  日</w:t>
      </w:r>
      <w:r/>
    </w:p>
    <w:p>
      <w:pPr>
        <w:rPr>
          <w:rFonts w:ascii="黑体" w:hAnsi="黑体" w:eastAsia="黑体" w:cs="黑体"/>
          <w:sz w:val="44"/>
          <w:szCs w:val="20"/>
        </w:rPr>
      </w:pPr>
      <w:r/>
      <w:bookmarkStart w:id="109" w:name="_Toc203060316"/>
      <w:r/>
      <w:r/>
    </w:p>
    <w:p>
      <w:pPr>
        <w:jc w:val="center"/>
        <w:widowControl/>
        <w:rPr>
          <w:rFonts w:asciiTheme="majorEastAsia" w:hAnsiTheme="majorEastAsia" w:eastAsiaTheme="majorEastAsia" w:cstheme="majorEastAsia"/>
          <w:bCs/>
          <w:sz w:val="28"/>
          <w:szCs w:val="28"/>
        </w:rPr>
      </w:pPr>
      <w:r>
        <w:rPr>
          <w:rFonts w:hint="eastAsia" w:asciiTheme="majorEastAsia" w:hAnsiTheme="majorEastAsia" w:eastAsiaTheme="majorEastAsia" w:cstheme="majorEastAsia"/>
          <w:bCs/>
          <w:sz w:val="28"/>
          <w:szCs w:val="28"/>
        </w:rPr>
        <w:t xml:space="preserve">保密协议书</w:t>
      </w:r>
      <w:r/>
    </w:p>
    <w:p>
      <w:pPr>
        <w:pStyle w:val="769"/>
        <w:spacing w:line="500" w:lineRule="exact"/>
        <w:widowControl/>
        <w:rPr>
          <w:rFonts w:hAnsi="宋体" w:eastAsia="Arial" w:cs="宋体"/>
          <w:sz w:val="24"/>
          <w:szCs w:val="20"/>
        </w:rPr>
      </w:pPr>
      <w:r>
        <w:rPr>
          <w:rFonts w:hint="eastAsia" w:hAnsi="宋体" w:eastAsia="Arial" w:cs="宋体"/>
          <w:sz w:val="24"/>
          <w:szCs w:val="20"/>
        </w:rPr>
        <w:t xml:space="preserve">甲方：</w:t>
      </w:r>
      <w:r>
        <w:rPr>
          <w:rFonts w:hint="eastAsia" w:hAnsi="宋体" w:eastAsia="Arial" w:cs="宋体"/>
          <w:sz w:val="24"/>
          <w:szCs w:val="20"/>
          <w:u w:val="single"/>
        </w:rPr>
        <w:t xml:space="preserve">                 </w:t>
      </w:r>
      <w:r>
        <w:rPr>
          <w:rFonts w:hint="eastAsia" w:hAnsi="宋体" w:eastAsia="Arial" w:cs="宋体"/>
          <w:sz w:val="24"/>
          <w:szCs w:val="20"/>
        </w:rPr>
        <w:t xml:space="preserve">                     </w:t>
      </w:r>
      <w:r/>
    </w:p>
    <w:p>
      <w:pPr>
        <w:pStyle w:val="769"/>
        <w:spacing w:line="500" w:lineRule="exact"/>
        <w:widowControl/>
        <w:rPr>
          <w:rFonts w:hAnsi="宋体" w:eastAsia="Arial" w:cs="宋体"/>
          <w:sz w:val="24"/>
          <w:szCs w:val="20"/>
        </w:rPr>
      </w:pPr>
      <w:r>
        <w:rPr>
          <w:rFonts w:hint="eastAsia" w:hAnsi="宋体" w:eastAsia="Arial" w:cs="宋体"/>
          <w:sz w:val="24"/>
          <w:szCs w:val="20"/>
        </w:rPr>
        <w:t xml:space="preserve">乙方：</w:t>
      </w:r>
      <w:r>
        <w:rPr>
          <w:rFonts w:hint="eastAsia" w:hAnsi="宋体" w:eastAsia="Arial" w:cs="宋体"/>
          <w:sz w:val="24"/>
          <w:szCs w:val="20"/>
          <w:u w:val="single"/>
        </w:rPr>
        <w:t xml:space="preserve">                 </w:t>
      </w:r>
      <w:r>
        <w:rPr>
          <w:rFonts w:hint="eastAsia" w:hAnsi="宋体" w:eastAsia="Arial" w:cs="宋体"/>
          <w:sz w:val="24"/>
          <w:szCs w:val="20"/>
        </w:rPr>
        <w:t xml:space="preserve">  </w:t>
      </w:r>
      <w:bookmarkStart w:id="110" w:name="OLE_LINK28"/>
      <w:r/>
      <w:bookmarkStart w:id="111" w:name="OLE_LINK26"/>
      <w:r>
        <w:rPr>
          <w:rFonts w:hint="eastAsia" w:hAnsi="宋体" w:eastAsia="Arial" w:cs="宋体"/>
          <w:sz w:val="24"/>
          <w:szCs w:val="20"/>
        </w:rPr>
        <w:t xml:space="preserve">                </w:t>
      </w:r>
      <w:bookmarkEnd w:id="110"/>
      <w:r/>
      <w:bookmarkEnd w:id="111"/>
      <w:r>
        <w:rPr>
          <w:rFonts w:hint="eastAsia" w:hAnsi="宋体" w:eastAsia="Arial" w:cs="宋体"/>
          <w:sz w:val="24"/>
          <w:szCs w:val="20"/>
        </w:rPr>
        <w:t xml:space="preserve">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鉴于乙方接受甲方委托，将在合同规定的期限内对甲方有关</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一、甲方职责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二、乙方职责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3.乙方在为甲方提供技术服务时，甲方根据乙方提出的要求，必须提供保密资料时，双方应当办理交接手续，做好登记、</w:t>
      </w:r>
      <w:r>
        <w:rPr>
          <w:rFonts w:hint="eastAsia" w:ascii="宋体" w:hAnsi="宋体" w:eastAsia="宋体" w:cs="宋体"/>
          <w:sz w:val="24"/>
          <w:szCs w:val="20"/>
        </w:rPr>
        <w:t xml:space="preserve">使用台账</w:t>
      </w:r>
      <w:r>
        <w:rPr>
          <w:rFonts w:hint="eastAsia" w:ascii="宋体" w:hAnsi="宋体" w:eastAsia="Arial" w:cs="宋体"/>
          <w:sz w:val="24"/>
          <w:szCs w:val="20"/>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4.乙方在完成甲方某项技术服务任务后，与此任务相关</w:t>
      </w:r>
      <w:r>
        <w:rPr>
          <w:rFonts w:hint="eastAsia" w:ascii="宋体" w:hAnsi="宋体" w:eastAsia="宋体" w:cs="宋体"/>
          <w:sz w:val="24"/>
          <w:szCs w:val="20"/>
        </w:rPr>
        <w:t xml:space="preserve">且</w:t>
      </w:r>
      <w:r>
        <w:rPr>
          <w:rFonts w:hint="eastAsia" w:ascii="宋体" w:hAnsi="宋体" w:eastAsia="Arial" w:cs="宋体"/>
          <w:sz w:val="24"/>
          <w:szCs w:val="20"/>
        </w:rPr>
        <w:t xml:space="preserve">短期内不再使用的先前甲方提供的保密资料，原则上应</w:t>
      </w:r>
      <w:r>
        <w:rPr>
          <w:rFonts w:hint="eastAsia" w:ascii="宋体" w:hAnsi="宋体" w:eastAsia="宋体" w:cs="宋体"/>
          <w:sz w:val="24"/>
          <w:szCs w:val="20"/>
          <w:lang w:val="en-US" w:eastAsia="zh-CN"/>
        </w:rPr>
        <w:t xml:space="preserve">限</w:t>
      </w:r>
      <w:r>
        <w:rPr>
          <w:rFonts w:hint="eastAsia" w:ascii="宋体" w:hAnsi="宋体" w:eastAsia="Arial" w:cs="宋体"/>
          <w:sz w:val="24"/>
          <w:szCs w:val="20"/>
        </w:rPr>
        <w:t xml:space="preserve">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6.乙方在使用电子设备(包括笔记本电脑、移动存储介质等)为甲方提供技术服务时，应严格按照有关保密规定要求，落实技防、人防、物防综合防范措施，确保安全。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三、其他事宜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2.本协议未尽事宜，双方另行择机商定。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3.双方在相关问题上发生争执无法解决时，拟商请保密工作部门进行调解。</w:t>
      </w:r>
      <w:r/>
    </w:p>
    <w:p>
      <w:pPr>
        <w:pStyle w:val="769"/>
        <w:ind w:firstLine="480"/>
        <w:spacing w:line="46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769"/>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乙方：</w:t>
      </w:r>
      <w:r>
        <w:rPr>
          <w:rFonts w:hint="eastAsia" w:asciiTheme="minorEastAsia" w:hAnsiTheme="minorEastAsia" w:eastAsiaTheme="minorEastAsia" w:cstheme="minorEastAsia"/>
          <w:sz w:val="24"/>
          <w:szCs w:val="24"/>
          <w:u w:val="single"/>
        </w:rPr>
        <w:t xml:space="preserve">                   </w:t>
      </w:r>
      <w:r/>
    </w:p>
    <w:p>
      <w:pPr>
        <w:pStyle w:val="769"/>
        <w:ind w:firstLine="480"/>
        <w:spacing w:line="4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69"/>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甲方代表（签字）：                    乙方代表（签字）：</w:t>
      </w:r>
      <w:r/>
    </w:p>
    <w:p>
      <w:pPr>
        <w:pStyle w:val="769"/>
        <w:ind w:firstLine="480"/>
        <w:spacing w:line="4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jc w:val="center"/>
        <w:spacing w:line="460" w:lineRule="exact"/>
        <w:rPr>
          <w:rFonts w:asciiTheme="minorEastAsia" w:hAnsiTheme="minorEastAsia" w:cstheme="minorEastAsia"/>
          <w:sz w:val="24"/>
        </w:rPr>
        <w:outlineLvl w:val="0"/>
      </w:pPr>
      <w:r>
        <w:rPr>
          <w:rFonts w:hint="eastAsia" w:asciiTheme="minorEastAsia" w:hAnsiTheme="minorEastAsia" w:cstheme="minorEastAsia"/>
          <w:sz w:val="24"/>
        </w:rPr>
        <w:t xml:space="preserve">签署日期：  年  月  日                签署日期：  年  月  日</w:t>
      </w:r>
      <w:r/>
    </w:p>
    <w:p>
      <w:pPr>
        <w:spacing w:line="460" w:lineRule="exact"/>
        <w:rPr>
          <w:rFonts w:asciiTheme="minorEastAsia" w:hAnsiTheme="minorEastAsia" w:cstheme="minorEastAsia"/>
          <w:sz w:val="24"/>
        </w:rPr>
        <w:outlineLvl w:val="0"/>
      </w:pPr>
      <w:r>
        <w:rPr>
          <w:rFonts w:asciiTheme="minorEastAsia" w:hAnsiTheme="minorEastAsia" w:cstheme="minorEastAsia"/>
          <w:sz w:val="24"/>
        </w:rPr>
      </w:r>
      <w:r/>
    </w:p>
    <w:p>
      <w:pPr>
        <w:jc w:val="center"/>
        <w:spacing w:line="400" w:lineRule="exact"/>
        <w:rPr>
          <w:rFonts w:ascii="黑体" w:hAnsi="黑体" w:eastAsia="黑体" w:cs="黑体"/>
          <w:sz w:val="44"/>
          <w:szCs w:val="20"/>
        </w:rPr>
        <w:outlineLvl w:val="0"/>
      </w:pPr>
      <w:r>
        <w:rPr>
          <w:rFonts w:ascii="黑体" w:hAnsi="黑体" w:eastAsia="黑体" w:cs="黑体"/>
          <w:sz w:val="44"/>
          <w:szCs w:val="20"/>
        </w:rPr>
      </w:r>
      <w:r/>
    </w:p>
    <w:p>
      <w:pPr>
        <w:jc w:val="center"/>
        <w:spacing w:line="460" w:lineRule="exact"/>
        <w:rPr>
          <w:rFonts w:ascii="黑体" w:hAnsi="黑体" w:eastAsia="黑体" w:cs="黑体"/>
          <w:sz w:val="44"/>
          <w:szCs w:val="20"/>
        </w:rPr>
        <w:outlineLvl w:val="0"/>
      </w:pPr>
      <w:r>
        <w:rPr>
          <w:rFonts w:hint="eastAsia" w:ascii="黑体" w:hAnsi="黑体" w:eastAsia="黑体" w:cs="黑体"/>
          <w:sz w:val="44"/>
          <w:szCs w:val="20"/>
        </w:rPr>
        <w:t xml:space="preserve">第</w:t>
      </w:r>
      <w:bookmarkEnd w:id="96"/>
      <w:r>
        <w:rPr>
          <w:rFonts w:hint="eastAsia" w:ascii="黑体" w:hAnsi="黑体" w:eastAsia="黑体" w:cs="黑体"/>
          <w:sz w:val="44"/>
          <w:szCs w:val="20"/>
        </w:rPr>
        <w:t xml:space="preserve">四章 采购需求</w:t>
      </w:r>
      <w:bookmarkEnd w:id="97"/>
      <w:r/>
      <w:bookmarkEnd w:id="98"/>
      <w:r/>
      <w:bookmarkEnd w:id="99"/>
      <w:r/>
      <w:bookmarkEnd w:id="100"/>
      <w:r/>
      <w:bookmarkEnd w:id="109"/>
      <w:r/>
      <w:bookmarkStart w:id="112" w:name="_Toc26554093"/>
      <w:r/>
      <w:bookmarkEnd w:id="112"/>
      <w:r/>
      <w:bookmarkStart w:id="113" w:name="_Toc49090575"/>
      <w:r/>
      <w:bookmarkEnd w:id="113"/>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项目属性：服务类项目</w:t>
      </w:r>
      <w:r/>
    </w:p>
    <w:p>
      <w:pPr>
        <w:ind w:firstLine="360"/>
        <w:jc w:val="left"/>
        <w:spacing w:before="100" w:beforeAutospacing="1" w:after="100" w:afterAutospacing="1"/>
        <w:rPr>
          <w:rFonts w:ascii="宋体" w:hAnsi="宋体" w:eastAsia="宋体" w:cs="宋体"/>
          <w:b/>
          <w:bCs/>
          <w:sz w:val="36"/>
          <w:szCs w:val="36"/>
        </w:rPr>
        <w:outlineLvl w:val="1"/>
      </w:pPr>
      <w:r/>
      <w:bookmarkStart w:id="114" w:name="_Toc164432416"/>
      <w:r/>
      <w:bookmarkStart w:id="115" w:name="_Toc203060317"/>
      <w:r/>
      <w:bookmarkStart w:id="116" w:name="_Toc120614281"/>
      <w:r>
        <w:rPr>
          <w:rFonts w:ascii="宋体" w:hAnsi="宋体" w:eastAsia="宋体" w:cs="宋体"/>
          <w:b/>
          <w:bCs/>
          <w:sz w:val="36"/>
          <w:szCs w:val="36"/>
        </w:rPr>
        <w:t xml:space="preserve">一、项目</w:t>
      </w:r>
      <w:bookmarkEnd w:id="114"/>
      <w:r>
        <w:rPr>
          <w:rFonts w:ascii="宋体" w:hAnsi="宋体" w:eastAsia="宋体" w:cs="宋体"/>
          <w:b/>
          <w:bCs/>
          <w:sz w:val="36"/>
          <w:szCs w:val="36"/>
        </w:rPr>
        <w:t xml:space="preserve">背景</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2024年底，全省新警综平台已全面单轨制上线应用。新警综平台承担了公安机关接处警、执法办案、执法监督、社区警务等核心基础业务，是公安机关接处警、执法办案的唯一工作平台，其重要性不言而喻。目前，我市新警综平台仅有生产库，纵向对省厅、横向对各警种提供数据服务均依托生产库开展，随着业务量增加，对系统稳定性将产生风险隐患，需开展新警综平台实时备份库建设。</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通过本次项目建设，一是实现新警综平台生产库到容灾备份库的准实时同步，今后新警综平台对外数据赋能服务统一由容灾备份库提供，同时容灾备份库承担起生产库环境的容灾备份功能。二是将新警综平台生产库数据在不停机的状态下迁移到华为云机房新的国产化硬件和国产系统环境下，迁移后原有硬件利旧作为容灾备份库硬件。三是将警综平台电子卷宗所用的分布式存储中的文件数据全量迁移至华为云中心华为对象存储中，确保警综平台电子卷宗数据的安全可靠及系统稳定运行</w:t>
      </w:r>
      <w:r>
        <w:rPr>
          <w:rFonts w:hint="eastAsia" w:ascii="宋体" w:hAnsi="宋体" w:eastAsia="宋体" w:cs="宋体"/>
          <w:sz w:val="24"/>
          <w:szCs w:val="20"/>
          <w:lang w:val="zh-CN"/>
        </w:rPr>
        <w:t xml:space="preserve">。</w:t>
      </w:r>
      <w:r/>
    </w:p>
    <w:p>
      <w:pPr>
        <w:ind w:firstLine="360"/>
        <w:jc w:val="left"/>
        <w:spacing w:before="100" w:beforeAutospacing="1" w:after="100" w:afterAutospacing="1"/>
        <w:rPr>
          <w:rFonts w:ascii="宋体" w:hAnsi="宋体" w:eastAsia="宋体" w:cs="宋体"/>
          <w:b/>
          <w:bCs/>
          <w:sz w:val="36"/>
          <w:szCs w:val="36"/>
        </w:rPr>
        <w:outlineLvl w:val="1"/>
      </w:pPr>
      <w:r>
        <w:rPr>
          <w:rFonts w:ascii="宋体" w:hAnsi="宋体" w:eastAsia="宋体" w:cs="宋体"/>
          <w:b/>
          <w:bCs/>
          <w:sz w:val="36"/>
          <w:szCs w:val="36"/>
        </w:rPr>
        <w:t xml:space="preserve">二、实施依据</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根据省厅《关于加快推进新一代警务信息综合平台建设上线试运行统一门户和单位管理模块的通知》要求：“各地新警综数据库要按照生产库分析库、备份库和大文件存储体系进行搭建，各地备份库主要实时存储备份生产库业务数据。”目前，我市缺少新警综备份库。</w:t>
      </w:r>
      <w:r/>
    </w:p>
    <w:p>
      <w:pPr>
        <w:ind w:firstLine="360"/>
        <w:jc w:val="left"/>
        <w:spacing w:before="100" w:beforeAutospacing="1" w:after="100" w:afterAutospacing="1"/>
        <w:rPr>
          <w:rFonts w:ascii="宋体" w:hAnsi="宋体" w:eastAsia="宋体" w:cs="宋体"/>
          <w:b/>
          <w:bCs/>
          <w:sz w:val="36"/>
          <w:szCs w:val="36"/>
        </w:rPr>
        <w:outlineLvl w:val="1"/>
      </w:pPr>
      <w:r>
        <w:rPr>
          <w:rFonts w:ascii="宋体" w:hAnsi="宋体" w:eastAsia="宋体" w:cs="宋体"/>
          <w:b/>
          <w:bCs/>
          <w:sz w:val="36"/>
          <w:szCs w:val="36"/>
        </w:rPr>
        <w:t xml:space="preserve">三、项目建设总体方案</w:t>
      </w:r>
      <w:r/>
    </w:p>
    <w:p>
      <w:pPr>
        <w:ind w:firstLine="480"/>
        <w:widowControl/>
        <w:rPr>
          <w:rFonts w:ascii="宋体" w:hAnsi="宋体" w:eastAsia="宋体" w:cs="宋体"/>
          <w:sz w:val="24"/>
          <w:szCs w:val="20"/>
        </w:rPr>
      </w:pPr>
      <w:r>
        <w:rPr>
          <w:rFonts w:hint="eastAsia" w:ascii="宋体" w:hAnsi="宋体" w:eastAsia="宋体" w:cs="宋体"/>
          <w:b/>
          <w:bCs/>
          <w:sz w:val="24"/>
          <w:szCs w:val="20"/>
        </w:rPr>
        <w:t xml:space="preserve">1、建设原则</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先进性：系统整体方案技术符合信息技术的发展趋势，采用先进成熟的技术和开发工具，具备先进实用的软硬件结构，以保证系统的先进性，且具有较长的使用寿命。</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实用性：硬件系统选择具有先进性、成熟性、稳定性，并拥有优良性能价格比的设备。软件系统的选择与开发应在满足业务需求的基础上具有易改造、易升级、易操作、易维护等性能。</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安全性：系统具有完备的安全体系和结构，包括用户身份认证、权限管理控制、日志记录等安全控制功能，还具备良好的防病毒功能，防止通过网络和操作系统的非法入侵，确保系统的网络安全。</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可扩展性：系统的设计不仅可满足当前业务开展的需求，也可以支撑未来业务发展变化的需要。</w:t>
      </w:r>
      <w:r/>
    </w:p>
    <w:p>
      <w:pPr>
        <w:ind w:firstLine="480"/>
        <w:widowControl/>
        <w:rPr>
          <w:rFonts w:ascii="宋体" w:hAnsi="宋体" w:eastAsia="宋体" w:cs="宋体"/>
          <w:sz w:val="24"/>
          <w:szCs w:val="20"/>
        </w:rPr>
      </w:pPr>
      <w:r>
        <w:rPr>
          <w:rFonts w:hint="eastAsia" w:ascii="宋体" w:hAnsi="宋体" w:eastAsia="宋体" w:cs="宋体"/>
          <w:b/>
          <w:bCs/>
          <w:sz w:val="24"/>
          <w:szCs w:val="20"/>
        </w:rPr>
        <w:t xml:space="preserve">2、建设目标</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通过本次项目建设，一是实现新警综平台生产库到容灾备份库的准实时同步，今后新警综平台对外数据赋能服务统一由容灾备份库提供，同时容灾备份库承担起生产库环境的容灾备份功能。二是将新警综平台生产库数据在不停机的状态下迁移到华为云机房新的国产化硬件和国产系统环境下，迁移后原有硬件利旧作为容灾备份库硬件。三是将警综平台电子卷宗所用的分布式存储中的文件数据全量迁移至华为云中心华为对象存储中，确保警综平台电子卷宗数据的安全可靠及系统稳定运行。</w:t>
      </w:r>
      <w:r/>
    </w:p>
    <w:p>
      <w:pPr>
        <w:ind w:firstLine="480"/>
        <w:widowControl/>
        <w:rPr>
          <w:rFonts w:ascii="宋体" w:hAnsi="宋体" w:eastAsia="宋体" w:cs="宋体"/>
          <w:sz w:val="24"/>
          <w:szCs w:val="20"/>
        </w:rPr>
      </w:pPr>
      <w:r>
        <w:rPr>
          <w:rFonts w:hint="eastAsia" w:ascii="宋体" w:hAnsi="宋体" w:eastAsia="宋体" w:cs="宋体"/>
          <w:b/>
          <w:bCs/>
          <w:sz w:val="24"/>
          <w:szCs w:val="20"/>
        </w:rPr>
        <w:t xml:space="preserve">3、总体架构设计</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本项目主要为数据库同步及数据迁移服务。投标人需详细阐述容灾备份总体架构设计。</w:t>
      </w:r>
      <w:r/>
    </w:p>
    <w:p>
      <w:pPr>
        <w:ind w:firstLine="480"/>
        <w:widowControl/>
        <w:rPr>
          <w:rFonts w:ascii="宋体" w:hAnsi="宋体" w:eastAsia="宋体" w:cs="宋体"/>
          <w:sz w:val="24"/>
          <w:szCs w:val="20"/>
        </w:rPr>
      </w:pPr>
      <w:r>
        <w:rPr>
          <w:rFonts w:hint="eastAsia" w:ascii="宋体" w:hAnsi="宋体" w:eastAsia="宋体" w:cs="宋体"/>
          <w:b/>
          <w:bCs/>
          <w:sz w:val="24"/>
          <w:szCs w:val="20"/>
        </w:rPr>
        <w:t xml:space="preserve">4、应用系统设计</w:t>
      </w:r>
      <w:r/>
    </w:p>
    <w:p>
      <w:pPr>
        <w:ind w:firstLine="480"/>
        <w:widowControl/>
        <w:rPr>
          <w:rFonts w:ascii="宋体" w:hAnsi="宋体" w:eastAsia="宋体" w:cs="宋体"/>
          <w:sz w:val="24"/>
          <w:szCs w:val="20"/>
        </w:rPr>
      </w:pPr>
      <w:r>
        <w:rPr>
          <w:rFonts w:hint="eastAsia" w:ascii="宋体" w:hAnsi="宋体" w:eastAsia="宋体" w:cs="宋体"/>
          <w:b/>
          <w:bCs/>
          <w:sz w:val="24"/>
          <w:szCs w:val="20"/>
        </w:rPr>
        <w:t xml:space="preserve">4.1 容灾备份库实时同步软件</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4.1.1 功能模块设计</w:t>
      </w:r>
      <w:r/>
    </w:p>
    <w:p>
      <w:pPr>
        <w:jc w:val="center"/>
        <w:widowControl/>
        <w:rPr>
          <w:rFonts w:ascii="宋体" w:hAnsi="宋体" w:eastAsia="宋体" w:cs="宋体"/>
          <w:sz w:val="24"/>
          <w:szCs w:val="20"/>
        </w:rPr>
      </w:pPr>
      <w:r>
        <w:rPr>
          <w:rFonts w:hint="eastAsia" w:ascii="宋体" w:hAnsi="宋体" w:eastAsia="宋体" w:cs="宋体"/>
        </w:rPr>
        <mc:AlternateContent>
          <mc:Choice Requires="wpg">
            <w:drawing>
              <wp:inline xmlns:wp="http://schemas.openxmlformats.org/drawingml/2006/wordprocessingDrawing" distT="0" distB="0" distL="0" distR="0">
                <wp:extent cx="5600700" cy="2524125"/>
                <wp:effectExtent l="0" t="0" r="0" b="9525"/>
                <wp:docPr id="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pic:cNvPicPr>
                          <a:picLocks noChangeAspect="1"/>
                        </pic:cNvPicPr>
                        <pic:nvPr/>
                      </pic:nvPicPr>
                      <pic:blipFill>
                        <a:blip r:embed="rId17"/>
                        <a:stretch/>
                      </pic:blipFill>
                      <pic:spPr bwMode="auto">
                        <a:xfrm>
                          <a:off x="0" y="0"/>
                          <a:ext cx="5600700" cy="2524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1.0pt;height:198.8pt;mso-wrap-distance-left:0.0pt;mso-wrap-distance-top:0.0pt;mso-wrap-distance-right:0.0pt;mso-wrap-distance-bottom:0.0pt;" stroked="f">
                <v:path textboxrect="0,0,0,0"/>
                <v:imagedata r:id="rId17" o:title=""/>
              </v:shape>
            </w:pict>
          </mc:Fallback>
        </mc:AlternateConten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系统可以分为以下几个模块：</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（1）数据同步模块：包含数据源端发送模块、数据目标端装载模块，负责全量/增量/实时同步新警综生产数据库和容灾备份库的数据。</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（2）数据比对校验模块：确保在同步过程中新警综生产数据和容灾备份库数据的一致性和准确性。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（3）运维管理平台客户端模块：对数据同步链路状态，运行状态，主机资源消耗情况进行监控，对系统异常情况进行告警。</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（4）数据同步流量管控模块：对新警综生产库业务高峰期批量数据更新和对接容灾备份库数据同步，不影响生产库性能，进行数据流量管控（生产+目标两端）。</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5）数据回溯模块：新警综生产数据库和容灾备份库记录数据同步的内容/操作类型（插入/删除/更新之前/更新之后）/操作时间，记录某些行数据的操作时间/操作类型/操作之前内容，以保持对警综生产库数据进行回溯。</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4.1.2 功能设计说明</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（1）按需复制</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根据新警综平台实际业务逻辑，对警综平台所有的数据表信息进行复制，也可根据实际需要复制表信息。可以指定需要复制的schema、指定不需要复制的schema、指定复制某些schema下的某些table、指定排除某些特定的table等预定义方式，允许设置对指定表的指定列进行复制。</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（2）异构支持</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支持新警综数据库到其他类型数据库的数据同步。通过同步软件转换算法将数据转换为其他类型数据库内部数据表达格式，实现数据的装载。</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（3）数据转换</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根据新警综平台业务场景，同步软件在新警综生产库到容灾备份库同步过程中，需要做相关数据转换处理。具体如下：</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用户名、表名、字段名不同的转换，数据库行、列的过滤和转换，特殊类型数据转换；</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空值处理：捕获字段空值，进行加载或替换为其他含义数据，并可根据字段空值实现分流加载到警综查询库；</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规范数据格式：实现字段格式约束定义，对于数据源中时间、数值、字符等数据，自定义加载格式；</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拆分数据：依据警综业务实际需求对字段进行分解；</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数据替换：对无效数据、缺失数据的替换；</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主外键约束：对无依赖性的非法数据，可替换或导出到错误数据文件中，保证主键唯一记录的加载；</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关键数据标准化、模板化以及制订相应的数据接口标准。</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（4）传输安全性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对于数据传输过程中采用严格加密方式防止数据泄漏，并支持TCP/SSH/FTP等协议或xml/json等文件形式传输。</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（5）实时性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新警综生产库到容灾备份库为准实时秒级同步。</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（7）低干扰性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对业务系统性能无影响，在数据全量同步时，对生产库CPU消耗小于10%,对内存占用小于450M；在增量同步时，对CPU占用不超过5%，内存消耗不超过400M。</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（8）故障纠错</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具备数据故障容错功能，对于同步过程中发生主机/网络故障时，能通过断点续传功能即时恢复数据同步，对于同步过程中发生的数据错误，能通过表级修复保证数据一致。</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（9）数据一致性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支持对象，表结构，条数，分区，字段定期进行自动比对，保持数据一致性和准确性。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（10）数据回溯</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记录数据内容/操作类型（插入/删除/更新之前/更新之后）/操作时间，记录某些行数据的操作时间/操作类型/操作之前内容。</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4.1.3 技术原理</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通过在新警综生产库上的数据分析代理进程，对数据库日志进行分析，对变化的数据在新警综备份库进行实时更新。</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当应用系统在新警综生产库上进行任何操作时时，这些信息都将在数据库日志中保存，同步工具通过对实时获取的日志进行分析，将日志以实时转换为文件格式输出，并通过网络传送到新警综备份库。</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新警综容灾备份库上的数据装载代理进程负责接收数据库包，经过校验码检查，确认正确的数据库包后，调用相关数据库函数按照交易的先后顺序在新警综备份库中执行该交易。</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4.1.4 数据同步通道建设要求</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（1）同步数据范围：新警综生产库全库或指定数据；</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（2）同步通道：数据全量通道/增量通道/实时通道；</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（3）同步规则：数据按照警综生产库数据一对一同步复制，满足部分数据拆分转换合并需要。</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4.1.5 数据同步执行过程</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数据同步执行过程主要分为三个阶段：</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1）新警综生产库全库数据首次初始化阶段，该阶段主要是将新警综生产库数据全量导入新警综容灾备份库，通过同步工具对数据实行导入、导出的方式，将新警综生产库上的已有数据记录从数据文件中直接读取并解析成为相关文件格式，并批量快速装载到新警综容灾备份库上。</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2）新警综生产库数据增量同步阶段，在对警综生产库全库数据首次初始化同时，同步工具通过跟踪和分析从数据初始化开始时的所有警综生产库日志信息，从日志文件中分析和翻译出这段时间内新增加的记录，然后再将记录在新警综容灾备份库上插入。如果在该过程中复制的数据在目标表中已经存在，则同步工具将首先删除目标系统中的该记录，同时插入新复制的记录。当新警综生产库完成数据初始化后，同步工具自动进行增量数据装载，无需人工干预。</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3）新警综生产库数据实时同步阶段，完成数据首次初始化和数据增量同步后，同步工具通过在新警综生产库上的数据分析代理进程，对数据库日志进行分析，对变化的数据在新警综容灾备份库进行更新。警综生产库和备份库同步为准实时状态，一般延时为3-5秒。</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4.1.6 新警综生产库数据共享方式变更</w:t>
      </w:r>
      <w:r/>
    </w:p>
    <w:p>
      <w:pPr>
        <w:widowControl/>
        <w:rPr>
          <w:rFonts w:ascii="宋体" w:hAnsi="宋体" w:eastAsia="宋体" w:cs="宋体"/>
          <w:sz w:val="24"/>
          <w:szCs w:val="20"/>
        </w:rPr>
      </w:pPr>
      <w:r>
        <w:rPr>
          <w:rFonts w:hint="eastAsia" w:ascii="宋体" w:hAnsi="宋体" w:eastAsia="宋体" w:cs="宋体"/>
        </w:rPr>
        <mc:AlternateContent>
          <mc:Choice Requires="wpg">
            <w:drawing>
              <wp:inline xmlns:wp="http://schemas.openxmlformats.org/drawingml/2006/wordprocessingDrawing" distT="0" distB="0" distL="0" distR="0">
                <wp:extent cx="5324475" cy="3819525"/>
                <wp:effectExtent l="0" t="0" r="9525" b="9525"/>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r/>
                      </pic:nvPicPr>
                      <pic:blipFill>
                        <a:blip r:embed="rId18"/>
                        <a:stretch/>
                      </pic:blipFill>
                      <pic:spPr bwMode="auto">
                        <a:xfrm>
                          <a:off x="0" y="0"/>
                          <a:ext cx="5324475" cy="3819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2pt;height:300.8pt;mso-wrap-distance-left:0.0pt;mso-wrap-distance-top:0.0pt;mso-wrap-distance-right:0.0pt;mso-wrap-distance-bottom:0.0pt;" stroked="f">
                <v:path textboxrect="0,0,0,0"/>
                <v:imagedata r:id="rId18" o:title=""/>
              </v:shape>
            </w:pict>
          </mc:Fallback>
        </mc:AlternateConten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通过建设新警综容灾备份库及相关服务，将大量查询、分析、统计报表、对外赋能服务从生产库迁移到容灾备份库，减少对生产系统的干扰，提升生产环境系统的稳定性和可靠性。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（一）省市两级数据同步共享</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通过盐城本地警综备份库将警综数据实时汇聚到省厅汇聚库，经过省厅数据云数据治理后形成警综业务库，为全省提供数据赋能服务。</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（二）本地数据共享</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警综系统原本对各地各警种提供的大量查询、分析、统计，在本地备份库建设完成后，统一切换至备份库，由备份库对外进行共享交换，既提升了警综生产库的稳定性，又减少本身生产库的负载，实现读写分离。</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4.1.7 软硬件环境说明</w:t>
      </w:r>
      <w:r/>
    </w:p>
    <w:tbl>
      <w:tblPr>
        <w:tblStyle w:val="758"/>
        <w:tblW w:w="8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6"/>
        <w:gridCol w:w="5565"/>
        <w:gridCol w:w="1827"/>
      </w:tblGrid>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硬件资源</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CPU：不少于16核</w:t>
            </w:r>
            <w:r/>
          </w:p>
          <w:p>
            <w:pPr>
              <w:widowControl/>
              <w:rPr>
                <w:rFonts w:ascii="宋体" w:hAnsi="宋体" w:eastAsia="宋体" w:cs="宋体"/>
                <w:sz w:val="24"/>
                <w:szCs w:val="20"/>
              </w:rPr>
            </w:pPr>
            <w:r>
              <w:rPr>
                <w:rFonts w:hint="eastAsia" w:ascii="宋体" w:hAnsi="宋体" w:eastAsia="宋体" w:cs="宋体"/>
                <w:sz w:val="24"/>
                <w:szCs w:val="20"/>
              </w:rPr>
              <w:t xml:space="preserve">支持国产CPU架构，如龙芯,鲲鹏，飞腾等，同时兼容X86架构</w:t>
            </w:r>
            <w:r/>
          </w:p>
          <w:p>
            <w:pPr>
              <w:widowControl/>
              <w:rPr>
                <w:rFonts w:ascii="宋体" w:hAnsi="宋体" w:eastAsia="宋体" w:cs="宋体"/>
                <w:sz w:val="24"/>
                <w:szCs w:val="20"/>
              </w:rPr>
            </w:pPr>
            <w:r>
              <w:rPr>
                <w:rFonts w:hint="eastAsia" w:ascii="宋体" w:hAnsi="宋体" w:eastAsia="宋体" w:cs="宋体"/>
                <w:sz w:val="24"/>
                <w:szCs w:val="20"/>
              </w:rPr>
              <w:t xml:space="preserve">内存：不少于128GB</w:t>
            </w:r>
            <w:r/>
          </w:p>
          <w:p>
            <w:pPr>
              <w:widowControl/>
              <w:rPr>
                <w:rFonts w:ascii="宋体" w:hAnsi="宋体" w:eastAsia="宋体" w:cs="宋体"/>
                <w:sz w:val="24"/>
                <w:szCs w:val="20"/>
              </w:rPr>
            </w:pPr>
            <w:r>
              <w:rPr>
                <w:rFonts w:hint="eastAsia" w:ascii="宋体" w:hAnsi="宋体" w:eastAsia="宋体" w:cs="宋体"/>
                <w:sz w:val="24"/>
                <w:szCs w:val="20"/>
              </w:rPr>
              <w:t xml:space="preserve">存储空间：不少于30TB，以警综生产库实际数据量为准</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备注说明</w:t>
            </w:r>
            <w:r/>
          </w:p>
          <w:p>
            <w:pPr>
              <w:widowControl/>
              <w:rPr>
                <w:rFonts w:ascii="宋体" w:hAnsi="宋体" w:eastAsia="宋体" w:cs="宋体"/>
                <w:sz w:val="24"/>
                <w:szCs w:val="20"/>
              </w:rPr>
            </w:pPr>
            <w:r>
              <w:rPr>
                <w:rFonts w:hint="eastAsia" w:ascii="宋体" w:hAnsi="宋体" w:eastAsia="宋体" w:cs="宋体"/>
                <w:sz w:val="24"/>
                <w:szCs w:val="20"/>
              </w:rPr>
              <w:t xml:space="preserve">利旧原有资源，扩容存储</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中间件</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ind w:firstLine="480"/>
              <w:widowControl/>
              <w:rPr>
                <w:rFonts w:ascii="宋体" w:hAnsi="宋体" w:eastAsia="宋体" w:cs="宋体"/>
                <w:sz w:val="24"/>
                <w:szCs w:val="20"/>
              </w:rPr>
            </w:pPr>
            <w:r>
              <w:rPr>
                <w:rFonts w:ascii="宋体" w:hAnsi="宋体" w:eastAsia="宋体" w:cs="宋体"/>
                <w:sz w:val="24"/>
                <w:szCs w:val="20"/>
              </w:rPr>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操作系统</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支持统信，银河麒麟，中科方德，欧拉等主流国产操作系统</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ind w:firstLine="480"/>
              <w:widowControl/>
              <w:rPr>
                <w:rFonts w:ascii="宋体" w:hAnsi="宋体" w:eastAsia="宋体" w:cs="宋体"/>
                <w:sz w:val="24"/>
                <w:szCs w:val="20"/>
              </w:rPr>
            </w:pPr>
            <w:r>
              <w:rPr>
                <w:rFonts w:ascii="宋体" w:hAnsi="宋体" w:eastAsia="宋体" w:cs="宋体"/>
                <w:sz w:val="24"/>
                <w:szCs w:val="20"/>
              </w:rPr>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数据库</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ascii="宋体" w:hAnsi="宋体" w:eastAsia="宋体" w:cs="宋体"/>
                <w:sz w:val="24"/>
                <w:szCs w:val="20"/>
              </w:rPr>
            </w:pPr>
            <w:r>
              <w:rPr>
                <w:rFonts w:hint="eastAsia" w:ascii="宋体" w:hAnsi="宋体" w:eastAsia="宋体" w:cs="宋体"/>
                <w:sz w:val="24"/>
                <w:szCs w:val="20"/>
              </w:rPr>
              <w:t xml:space="preserve">支持达梦，人大金仓，华为高斯，南大通用，神通等主流国产数据库</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ind w:firstLine="480"/>
              <w:widowControl/>
              <w:rPr>
                <w:rFonts w:ascii="宋体" w:hAnsi="宋体" w:eastAsia="宋体" w:cs="宋体"/>
                <w:sz w:val="24"/>
                <w:szCs w:val="20"/>
              </w:rPr>
            </w:pPr>
            <w:r>
              <w:rPr>
                <w:rFonts w:ascii="宋体" w:hAnsi="宋体" w:eastAsia="宋体" w:cs="宋体"/>
                <w:sz w:val="24"/>
                <w:szCs w:val="20"/>
              </w:rPr>
            </w:r>
            <w:r/>
          </w:p>
        </w:tc>
      </w:tr>
    </w:tbl>
    <w:p>
      <w:pPr>
        <w:ind w:firstLine="480"/>
        <w:widowControl/>
        <w:rPr>
          <w:rFonts w:ascii="宋体" w:hAnsi="宋体" w:eastAsia="宋体" w:cs="宋体"/>
          <w:sz w:val="24"/>
          <w:szCs w:val="20"/>
        </w:rPr>
      </w:pPr>
      <w:r>
        <w:rPr>
          <w:rFonts w:hint="eastAsia" w:ascii="宋体" w:hAnsi="宋体" w:eastAsia="宋体" w:cs="宋体"/>
          <w:b/>
          <w:bCs/>
          <w:sz w:val="24"/>
          <w:szCs w:val="20"/>
        </w:rPr>
        <w:t xml:space="preserve">4.2 新警综平台生产库数据迁移</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4.2.1 迁移设计说明</w:t>
      </w:r>
      <w:r/>
    </w:p>
    <w:p>
      <w:pPr>
        <w:widowControl/>
        <w:rPr>
          <w:rFonts w:ascii="宋体" w:hAnsi="宋体" w:eastAsia="宋体" w:cs="宋体"/>
          <w:sz w:val="24"/>
          <w:szCs w:val="20"/>
        </w:rPr>
      </w:pPr>
      <w:r>
        <w:rPr>
          <w:rFonts w:hint="eastAsia" w:ascii="宋体" w:hAnsi="宋体" w:eastAsia="宋体" w:cs="宋体"/>
        </w:rPr>
        <mc:AlternateContent>
          <mc:Choice Requires="wpg">
            <w:drawing>
              <wp:inline xmlns:wp="http://schemas.openxmlformats.org/drawingml/2006/wordprocessingDrawing" distT="0" distB="0" distL="0" distR="0">
                <wp:extent cx="5381625" cy="1638300"/>
                <wp:effectExtent l="0" t="0" r="9525" b="0"/>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pic:cNvPicPr>
                          <a:picLocks noChangeAspect="1"/>
                        </pic:cNvPicPr>
                        <pic:nvPr/>
                      </pic:nvPicPr>
                      <pic:blipFill>
                        <a:blip r:embed="rId19"/>
                        <a:stretch/>
                      </pic:blipFill>
                      <pic:spPr bwMode="auto">
                        <a:xfrm>
                          <a:off x="0" y="0"/>
                          <a:ext cx="5381625" cy="163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3.8pt;height:129.0pt;mso-wrap-distance-left:0.0pt;mso-wrap-distance-top:0.0pt;mso-wrap-distance-right:0.0pt;mso-wrap-distance-bottom:0.0pt;" stroked="f">
                <v:path textboxrect="0,0,0,0"/>
                <v:imagedata r:id="rId19" o:title=""/>
              </v:shape>
            </w:pict>
          </mc:Fallback>
        </mc:AlternateConten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警综原有平台整体迁移到省厅要求建立新一代警综数据库平台，将原有警综所有数据一次性在线迁移到新一代警综数据库平台中，完成新旧系统的过渡。</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在系统不中断的前提下，数据在线迁移，将新警综平台生产库迁移至华为云中心数据库一体机上，并对数据进行比对和校验，完成新旧硬件的平稳过渡切换。</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数据迁移期间业务系统不停机，正式割接停机时间不超过2个小时。</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新旧平台迁移后数据必须保持一致。</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迁移回退和数据保障方案快速可靠。</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新警综平台迁移完成后运行稳定高效。</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迁移流程规划如下：</w:t>
      </w:r>
      <w:r/>
    </w:p>
    <w:tbl>
      <w:tblPr>
        <w:tblStyle w:val="75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9"/>
        <w:gridCol w:w="6395"/>
      </w:tblGrid>
      <w:tr>
        <w:trPr>
          <w:jc w:val="center"/>
        </w:trPr>
        <w:tc>
          <w:tcPr>
            <w:tcW w:w="2109" w:type="dxa"/>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阶段</w:t>
            </w:r>
            <w:r/>
          </w:p>
        </w:tc>
        <w:tc>
          <w:tcPr>
            <w:tcW w:w="6395" w:type="dxa"/>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工作内容</w:t>
            </w:r>
            <w:r/>
          </w:p>
        </w:tc>
      </w:tr>
      <w:tr>
        <w:trPr>
          <w:jc w:val="center"/>
        </w:trPr>
        <w:tc>
          <w:tcPr>
            <w:tcW w:w="2109" w:type="dxa"/>
            <w:vAlign w:val="center"/>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制定初步迁移计划</w:t>
            </w:r>
            <w:r/>
          </w:p>
        </w:tc>
        <w:tc>
          <w:tcPr>
            <w:tcW w:w="6395" w:type="dxa"/>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起草初步的迁移计划，包括：</w:t>
            </w:r>
            <w:r/>
          </w:p>
          <w:p>
            <w:pPr>
              <w:jc w:val="left"/>
              <w:spacing w:line="240" w:lineRule="atLeast"/>
              <w:rPr>
                <w:rFonts w:ascii="宋体" w:hAnsi="宋体" w:eastAsia="宋体" w:cs="宋体"/>
                <w:sz w:val="24"/>
              </w:rPr>
            </w:pPr>
            <w:r>
              <w:rPr>
                <w:rFonts w:hint="eastAsia" w:ascii="宋体" w:hAnsi="宋体" w:eastAsia="宋体" w:cs="宋体"/>
                <w:sz w:val="24"/>
              </w:rPr>
              <w:t xml:space="preserve">需要迁移的软硬件环境确认</w:t>
            </w:r>
            <w:r/>
          </w:p>
          <w:p>
            <w:pPr>
              <w:jc w:val="left"/>
              <w:spacing w:line="240" w:lineRule="atLeast"/>
              <w:rPr>
                <w:rFonts w:ascii="宋体" w:hAnsi="宋体" w:eastAsia="宋体" w:cs="宋体"/>
                <w:sz w:val="24"/>
              </w:rPr>
            </w:pPr>
            <w:r>
              <w:rPr>
                <w:rFonts w:hint="eastAsia" w:ascii="宋体" w:hAnsi="宋体" w:eastAsia="宋体" w:cs="宋体"/>
                <w:sz w:val="24"/>
              </w:rPr>
              <w:t xml:space="preserve">需要迁移的数据类型、数据量调查</w:t>
            </w:r>
            <w:r/>
          </w:p>
          <w:p>
            <w:pPr>
              <w:jc w:val="left"/>
              <w:spacing w:line="240" w:lineRule="atLeast"/>
              <w:rPr>
                <w:rFonts w:ascii="宋体" w:hAnsi="宋体" w:eastAsia="宋体" w:cs="宋体"/>
                <w:sz w:val="24"/>
              </w:rPr>
            </w:pPr>
            <w:r>
              <w:rPr>
                <w:rFonts w:hint="eastAsia" w:ascii="宋体" w:hAnsi="宋体" w:eastAsia="宋体" w:cs="宋体"/>
                <w:sz w:val="24"/>
              </w:rPr>
              <w:t xml:space="preserve">数据按照变化频率划分为历史和当前数据</w:t>
            </w:r>
            <w:r/>
          </w:p>
          <w:p>
            <w:pPr>
              <w:jc w:val="left"/>
              <w:spacing w:line="240" w:lineRule="atLeast"/>
              <w:rPr>
                <w:rFonts w:ascii="宋体" w:hAnsi="宋体" w:eastAsia="宋体" w:cs="宋体"/>
                <w:sz w:val="24"/>
              </w:rPr>
            </w:pPr>
            <w:r>
              <w:rPr>
                <w:rFonts w:hint="eastAsia" w:ascii="宋体" w:hAnsi="宋体" w:eastAsia="宋体" w:cs="宋体"/>
                <w:sz w:val="24"/>
              </w:rPr>
              <w:t xml:space="preserve">规划迁移时间和关键步骤</w:t>
            </w:r>
            <w:r/>
          </w:p>
          <w:p>
            <w:pPr>
              <w:jc w:val="left"/>
              <w:spacing w:line="240" w:lineRule="atLeast"/>
              <w:rPr>
                <w:rFonts w:ascii="宋体" w:hAnsi="宋体" w:eastAsia="宋体" w:cs="宋体"/>
                <w:sz w:val="24"/>
              </w:rPr>
            </w:pPr>
            <w:r>
              <w:rPr>
                <w:rFonts w:hint="eastAsia" w:ascii="宋体" w:hAnsi="宋体" w:eastAsia="宋体" w:cs="宋体"/>
                <w:sz w:val="24"/>
              </w:rPr>
              <w:t xml:space="preserve">迁移过程和相关软件的配合</w:t>
            </w:r>
            <w:r/>
          </w:p>
          <w:p>
            <w:pPr>
              <w:jc w:val="left"/>
              <w:spacing w:line="240" w:lineRule="atLeast"/>
              <w:rPr>
                <w:rFonts w:ascii="宋体" w:hAnsi="宋体" w:eastAsia="宋体" w:cs="宋体"/>
                <w:sz w:val="24"/>
              </w:rPr>
            </w:pPr>
            <w:r>
              <w:rPr>
                <w:rFonts w:hint="eastAsia" w:ascii="宋体" w:hAnsi="宋体" w:eastAsia="宋体" w:cs="宋体"/>
                <w:sz w:val="24"/>
              </w:rPr>
              <w:t xml:space="preserve">迁移过程中生产系统的配合</w:t>
            </w:r>
            <w:r/>
          </w:p>
          <w:p>
            <w:pPr>
              <w:jc w:val="left"/>
              <w:spacing w:line="240" w:lineRule="atLeast"/>
              <w:rPr>
                <w:rFonts w:ascii="宋体" w:hAnsi="宋体" w:eastAsia="宋体" w:cs="宋体"/>
                <w:sz w:val="24"/>
              </w:rPr>
            </w:pPr>
            <w:r>
              <w:rPr>
                <w:rFonts w:hint="eastAsia" w:ascii="宋体" w:hAnsi="宋体" w:eastAsia="宋体" w:cs="宋体"/>
                <w:sz w:val="24"/>
              </w:rPr>
              <w:t xml:space="preserve">数据校验策略</w:t>
            </w:r>
            <w:r/>
          </w:p>
          <w:p>
            <w:pPr>
              <w:jc w:val="left"/>
              <w:spacing w:line="240" w:lineRule="atLeast"/>
              <w:rPr>
                <w:rFonts w:ascii="宋体" w:hAnsi="宋体" w:eastAsia="宋体" w:cs="宋体"/>
                <w:sz w:val="24"/>
              </w:rPr>
            </w:pPr>
            <w:r>
              <w:rPr>
                <w:rFonts w:hint="eastAsia" w:ascii="宋体" w:hAnsi="宋体" w:eastAsia="宋体" w:cs="宋体"/>
                <w:sz w:val="24"/>
              </w:rPr>
              <w:t xml:space="preserve">迁移回退策略</w:t>
            </w:r>
            <w:r/>
          </w:p>
        </w:tc>
      </w:tr>
      <w:tr>
        <w:trPr>
          <w:jc w:val="center"/>
          <w:trHeight w:val="798"/>
        </w:trPr>
        <w:tc>
          <w:tcPr>
            <w:tcW w:w="2109" w:type="dxa"/>
            <w:vAlign w:val="center"/>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迁移第一阶段</w:t>
            </w:r>
            <w:r/>
          </w:p>
        </w:tc>
        <w:tc>
          <w:tcPr>
            <w:tcW w:w="6395" w:type="dxa"/>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一、需要的环境准备：</w:t>
            </w:r>
            <w:r/>
          </w:p>
          <w:p>
            <w:pPr>
              <w:jc w:val="left"/>
              <w:spacing w:line="240" w:lineRule="atLeast"/>
              <w:rPr>
                <w:rFonts w:ascii="宋体" w:hAnsi="宋体" w:eastAsia="宋体" w:cs="宋体"/>
                <w:sz w:val="24"/>
              </w:rPr>
            </w:pPr>
            <w:r>
              <w:rPr>
                <w:rFonts w:hint="eastAsia" w:ascii="宋体" w:hAnsi="宋体" w:eastAsia="宋体" w:cs="宋体"/>
                <w:sz w:val="24"/>
              </w:rPr>
              <w:t xml:space="preserve">确定用于测试的数据源：最好是直接的生产系统或者是生产系统的克隆系统。</w:t>
            </w:r>
            <w:r/>
          </w:p>
          <w:p>
            <w:pPr>
              <w:jc w:val="left"/>
              <w:spacing w:line="240" w:lineRule="atLeast"/>
              <w:rPr>
                <w:rFonts w:ascii="宋体" w:hAnsi="宋体" w:eastAsia="宋体" w:cs="宋体"/>
                <w:sz w:val="24"/>
              </w:rPr>
            </w:pPr>
            <w:r>
              <w:rPr>
                <w:rFonts w:hint="eastAsia" w:ascii="宋体" w:hAnsi="宋体" w:eastAsia="宋体" w:cs="宋体"/>
                <w:sz w:val="24"/>
              </w:rPr>
              <w:t xml:space="preserve">确定用于测试的目标数据库：将对所有的数据进行一次迁移测试，因此要求目标端的数据库的容量足够。</w:t>
            </w:r>
            <w:r/>
          </w:p>
          <w:p>
            <w:pPr>
              <w:jc w:val="left"/>
              <w:spacing w:line="240" w:lineRule="atLeast"/>
              <w:rPr>
                <w:rFonts w:ascii="宋体" w:hAnsi="宋体" w:eastAsia="宋体" w:cs="宋体"/>
                <w:sz w:val="24"/>
              </w:rPr>
            </w:pPr>
            <w:r>
              <w:rPr>
                <w:rFonts w:hint="eastAsia" w:ascii="宋体" w:hAnsi="宋体" w:eastAsia="宋体" w:cs="宋体"/>
                <w:sz w:val="24"/>
              </w:rPr>
              <w:t xml:space="preserve">目标端的环境准备：</w:t>
            </w:r>
            <w:r>
              <w:rPr>
                <w:rFonts w:hint="eastAsia" w:ascii="宋体" w:hAnsi="宋体" w:eastAsia="宋体" w:cs="宋体"/>
                <w:sz w:val="24"/>
              </w:rPr>
              <w:br/>
            </w:r>
            <w:r>
              <w:rPr>
                <w:rFonts w:hint="eastAsia" w:ascii="宋体" w:hAnsi="宋体" w:eastAsia="宋体" w:cs="宋体"/>
                <w:sz w:val="24"/>
              </w:rPr>
              <w:t xml:space="preserve">磁盘空间充足的主机</w:t>
            </w:r>
            <w:r/>
          </w:p>
          <w:p>
            <w:pPr>
              <w:jc w:val="left"/>
              <w:spacing w:line="240" w:lineRule="atLeast"/>
              <w:rPr>
                <w:rFonts w:ascii="宋体" w:hAnsi="宋体" w:eastAsia="宋体" w:cs="宋体"/>
                <w:sz w:val="24"/>
              </w:rPr>
            </w:pPr>
            <w:r>
              <w:rPr>
                <w:rFonts w:hint="eastAsia" w:ascii="宋体" w:hAnsi="宋体" w:eastAsia="宋体" w:cs="宋体"/>
                <w:sz w:val="24"/>
              </w:rPr>
              <w:t xml:space="preserve">安装迁移环境数据库</w:t>
            </w:r>
            <w:r/>
          </w:p>
          <w:p>
            <w:pPr>
              <w:jc w:val="left"/>
              <w:spacing w:line="240" w:lineRule="atLeast"/>
              <w:rPr>
                <w:rFonts w:ascii="宋体" w:hAnsi="宋体" w:eastAsia="宋体" w:cs="宋体"/>
                <w:sz w:val="24"/>
              </w:rPr>
            </w:pPr>
            <w:r>
              <w:rPr>
                <w:rFonts w:hint="eastAsia" w:ascii="宋体" w:hAnsi="宋体" w:eastAsia="宋体" w:cs="宋体"/>
                <w:sz w:val="24"/>
              </w:rPr>
              <w:t xml:space="preserve">二、测试的主要内容：</w:t>
            </w:r>
            <w:r/>
          </w:p>
          <w:p>
            <w:pPr>
              <w:jc w:val="left"/>
              <w:spacing w:line="240" w:lineRule="atLeast"/>
              <w:rPr>
                <w:rFonts w:ascii="宋体" w:hAnsi="宋体" w:eastAsia="宋体" w:cs="宋体"/>
                <w:sz w:val="24"/>
              </w:rPr>
            </w:pPr>
            <w:r>
              <w:rPr>
                <w:rFonts w:hint="eastAsia" w:ascii="宋体" w:hAnsi="宋体" w:eastAsia="宋体" w:cs="宋体"/>
                <w:sz w:val="24"/>
              </w:rPr>
              <w:t xml:space="preserve">按照预先制定的迁移方案进行测试，对迁移方案进行验证，并且对不完善的地方进行补充。</w:t>
            </w:r>
            <w:r/>
          </w:p>
          <w:p>
            <w:pPr>
              <w:jc w:val="left"/>
              <w:spacing w:line="240" w:lineRule="atLeast"/>
              <w:rPr>
                <w:rFonts w:ascii="宋体" w:hAnsi="宋体" w:eastAsia="宋体" w:cs="宋体"/>
                <w:sz w:val="24"/>
              </w:rPr>
            </w:pPr>
            <w:r>
              <w:rPr>
                <w:rFonts w:hint="eastAsia" w:ascii="宋体" w:hAnsi="宋体" w:eastAsia="宋体" w:cs="宋体"/>
                <w:sz w:val="24"/>
              </w:rPr>
              <w:t xml:space="preserve">测试是否支持所有的数据，找出不支持的数据，或者迁移有风险的数据，以形成特殊预案。</w:t>
            </w:r>
            <w:r/>
          </w:p>
          <w:p>
            <w:pPr>
              <w:jc w:val="left"/>
              <w:spacing w:line="240" w:lineRule="atLeast"/>
              <w:rPr>
                <w:rFonts w:ascii="宋体" w:hAnsi="宋体" w:eastAsia="宋体" w:cs="宋体"/>
                <w:sz w:val="24"/>
              </w:rPr>
            </w:pPr>
            <w:r>
              <w:rPr>
                <w:rFonts w:hint="eastAsia" w:ascii="宋体" w:hAnsi="宋体" w:eastAsia="宋体" w:cs="宋体"/>
                <w:sz w:val="24"/>
              </w:rPr>
              <w:t xml:space="preserve">得到真实的性能数据，包括数据初始化性能、数据比对性能等。</w:t>
            </w:r>
            <w:r/>
          </w:p>
        </w:tc>
      </w:tr>
      <w:tr>
        <w:trPr>
          <w:jc w:val="center"/>
        </w:trPr>
        <w:tc>
          <w:tcPr>
            <w:tcW w:w="2109" w:type="dxa"/>
            <w:vAlign w:val="center"/>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迁移第2阶段测试</w:t>
            </w:r>
            <w:r/>
          </w:p>
        </w:tc>
        <w:tc>
          <w:tcPr>
            <w:tcW w:w="6395" w:type="dxa"/>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主要内容：</w:t>
            </w:r>
            <w:r/>
          </w:p>
          <w:p>
            <w:pPr>
              <w:jc w:val="left"/>
              <w:spacing w:line="240" w:lineRule="atLeast"/>
              <w:rPr>
                <w:rFonts w:ascii="宋体" w:hAnsi="宋体" w:eastAsia="宋体" w:cs="宋体"/>
                <w:sz w:val="24"/>
              </w:rPr>
            </w:pPr>
            <w:r>
              <w:rPr>
                <w:rFonts w:hint="eastAsia" w:ascii="宋体" w:hAnsi="宋体" w:eastAsia="宋体" w:cs="宋体"/>
                <w:sz w:val="24"/>
              </w:rPr>
              <w:t xml:space="preserve">进行正式迁移之前的真实模拟，要求就在将来要迁移的老系统和新系统上进行。</w:t>
            </w:r>
            <w:r/>
          </w:p>
          <w:p>
            <w:pPr>
              <w:jc w:val="left"/>
              <w:spacing w:line="240" w:lineRule="atLeast"/>
              <w:rPr>
                <w:rFonts w:ascii="宋体" w:hAnsi="宋体" w:eastAsia="宋体" w:cs="宋体"/>
                <w:sz w:val="24"/>
              </w:rPr>
            </w:pPr>
            <w:r>
              <w:rPr>
                <w:rFonts w:hint="eastAsia" w:ascii="宋体" w:hAnsi="宋体" w:eastAsia="宋体" w:cs="宋体"/>
                <w:sz w:val="24"/>
              </w:rPr>
              <w:t xml:space="preserve">环境准备：按照设计安装好新系统环境</w:t>
            </w:r>
            <w:r/>
          </w:p>
          <w:p>
            <w:pPr>
              <w:jc w:val="left"/>
              <w:spacing w:line="240" w:lineRule="atLeast"/>
              <w:rPr>
                <w:rFonts w:ascii="宋体" w:hAnsi="宋体" w:eastAsia="宋体" w:cs="宋体"/>
                <w:sz w:val="24"/>
              </w:rPr>
            </w:pPr>
            <w:r>
              <w:rPr>
                <w:rFonts w:hint="eastAsia" w:ascii="宋体" w:hAnsi="宋体" w:eastAsia="宋体" w:cs="宋体"/>
                <w:sz w:val="24"/>
              </w:rPr>
              <w:t xml:space="preserve">协调在生产系统进行直接测试，协调应用软件在新系统上的模拟测试测试内容</w:t>
            </w:r>
            <w:r/>
          </w:p>
          <w:p>
            <w:pPr>
              <w:jc w:val="left"/>
              <w:spacing w:line="240" w:lineRule="atLeast"/>
              <w:rPr>
                <w:rFonts w:ascii="宋体" w:hAnsi="宋体" w:eastAsia="宋体" w:cs="宋体"/>
                <w:sz w:val="24"/>
              </w:rPr>
            </w:pPr>
            <w:r>
              <w:rPr>
                <w:rFonts w:hint="eastAsia" w:ascii="宋体" w:hAnsi="宋体" w:eastAsia="宋体" w:cs="宋体"/>
                <w:sz w:val="24"/>
              </w:rPr>
              <w:t xml:space="preserve">在正式系统上进行数据迁移，迁移完成后，应用系统从业务层面对迁移的数据进行校验，校验完成后，应用在系统上进行模拟测试</w:t>
            </w:r>
            <w:r/>
          </w:p>
          <w:p>
            <w:pPr>
              <w:jc w:val="left"/>
              <w:spacing w:line="240" w:lineRule="atLeast"/>
              <w:rPr>
                <w:rFonts w:ascii="宋体" w:hAnsi="宋体" w:eastAsia="宋体" w:cs="宋体"/>
                <w:sz w:val="24"/>
              </w:rPr>
            </w:pPr>
            <w:r>
              <w:rPr>
                <w:rFonts w:hint="eastAsia" w:ascii="宋体" w:hAnsi="宋体" w:eastAsia="宋体" w:cs="宋体"/>
                <w:sz w:val="24"/>
              </w:rPr>
              <w:t xml:space="preserve">对迁移方案进行最后的修改和定稿</w:t>
            </w:r>
            <w:r/>
          </w:p>
        </w:tc>
      </w:tr>
      <w:tr>
        <w:trPr>
          <w:jc w:val="center"/>
        </w:trPr>
        <w:tc>
          <w:tcPr>
            <w:tcW w:w="2109" w:type="dxa"/>
            <w:vAlign w:val="center"/>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正式迁移</w:t>
            </w:r>
            <w:r/>
          </w:p>
        </w:tc>
        <w:tc>
          <w:tcPr>
            <w:tcW w:w="6395" w:type="dxa"/>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根据最后形成的迁移方案进行迁移。</w:t>
            </w:r>
            <w:r/>
          </w:p>
        </w:tc>
      </w:tr>
    </w:tbl>
    <w:p>
      <w:pPr>
        <w:ind w:firstLine="480"/>
        <w:widowControl/>
        <w:rPr>
          <w:rFonts w:ascii="宋体" w:hAnsi="宋体" w:eastAsia="宋体" w:cs="宋体"/>
          <w:sz w:val="24"/>
          <w:szCs w:val="20"/>
        </w:rPr>
      </w:pPr>
      <w:r>
        <w:rPr>
          <w:rFonts w:hint="eastAsia" w:ascii="宋体" w:hAnsi="宋体" w:eastAsia="宋体" w:cs="宋体"/>
          <w:sz w:val="24"/>
          <w:szCs w:val="20"/>
        </w:rPr>
        <w:t xml:space="preserve">4.2.2 迁移步骤详细说明</w:t>
      </w:r>
      <w:r/>
    </w:p>
    <w:tbl>
      <w:tblPr>
        <w:tblStyle w:val="758"/>
        <w:tblW w:w="8504" w:type="dxa"/>
        <w:jc w:val="center"/>
        <w:tblLayout w:type="fixed"/>
        <w:tblCellMar>
          <w:left w:w="108" w:type="dxa"/>
          <w:top w:w="0" w:type="dxa"/>
          <w:right w:w="108" w:type="dxa"/>
          <w:bottom w:w="0" w:type="dxa"/>
        </w:tblCellMar>
        <w:tblLook w:val="04A0" w:firstRow="1" w:lastRow="0" w:firstColumn="1" w:lastColumn="0" w:noHBand="0" w:noVBand="1"/>
      </w:tblPr>
      <w:tblGrid>
        <w:gridCol w:w="1754"/>
        <w:gridCol w:w="6750"/>
      </w:tblGrid>
      <w:tr>
        <w:trPr>
          <w:jc w:val="center"/>
          <w:trHeight w:val="330"/>
        </w:trPr>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jc w:val="center"/>
              <w:spacing w:line="240" w:lineRule="atLeast"/>
              <w:rPr>
                <w:rFonts w:ascii="宋体" w:hAnsi="宋体" w:eastAsia="宋体" w:cs="宋体"/>
                <w:sz w:val="24"/>
              </w:rPr>
            </w:pPr>
            <w:r>
              <w:rPr>
                <w:rFonts w:hint="eastAsia" w:ascii="宋体" w:hAnsi="宋体" w:eastAsia="宋体" w:cs="宋体"/>
                <w:sz w:val="24"/>
              </w:rPr>
              <w:t xml:space="preserve">任务说明</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主要工作内容</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1754" w:type="dxa"/>
            <w:vAlign w:val="center"/>
            <w:vMerge w:val="restart"/>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迁移准备</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调研现场生产库环境，包含操作系统版本，数据迁移表清单、数据库属性、数据库参数、数据库归档、数据库事务、数据库同步账号、数据库容量情况、数据库管理规范、数据库架构等</w:t>
            </w:r>
            <w:r/>
          </w:p>
          <w:p>
            <w:pPr>
              <w:jc w:val="left"/>
              <w:spacing w:line="240" w:lineRule="atLeast"/>
              <w:rPr>
                <w:rFonts w:ascii="宋体" w:hAnsi="宋体" w:eastAsia="宋体" w:cs="宋体"/>
                <w:sz w:val="24"/>
              </w:rPr>
            </w:pPr>
            <w:r>
              <w:rPr>
                <w:rFonts w:hint="eastAsia" w:ascii="宋体" w:hAnsi="宋体" w:eastAsia="宋体" w:cs="宋体"/>
                <w:sz w:val="24"/>
              </w:rPr>
              <w:t xml:space="preserve">根据上述情况，拟定数据迁移方案</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在新系统主机、网络、存储空间具备的前提下，搭建新系统生产库环境，包</w:t>
            </w:r>
            <w:r>
              <w:rPr>
                <w:rFonts w:hint="eastAsia" w:ascii="宋体" w:hAnsi="宋体" w:eastAsia="宋体" w:cs="宋体"/>
                <w:sz w:val="24"/>
                <w:lang w:val="en-US" w:eastAsia="zh-CN"/>
              </w:rPr>
              <w:t xml:space="preserve">括</w:t>
            </w:r>
            <w:r>
              <w:rPr>
                <w:rFonts w:hint="eastAsia" w:ascii="宋体" w:hAnsi="宋体" w:eastAsia="宋体" w:cs="宋体"/>
                <w:sz w:val="24"/>
              </w:rPr>
              <w:t xml:space="preserve">数据库安装、集群搭建、数据库参数调优等，期间应用厂商需搭建应用测试环境，供测试使用</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本次迁移涉及的核心业务系统数据库在大版本上会有更新，应用厂商需搭建应用测试环境，供业务全流程测试使用</w:t>
            </w:r>
            <w:r/>
          </w:p>
        </w:tc>
      </w:tr>
      <w:tr>
        <w:trPr>
          <w:jc w:val="center"/>
          <w:trHeight w:val="79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在新旧系统上部署数据在线迁移模块，包含源端分析模块、发送模块、目标端接收模块、装载模块、数据一致性比对模块</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配置数据迁移同步队列，优化同步策略，对原有环境数据库表按照数据量大小和每日增量情况进行通道配置</w:t>
            </w:r>
            <w:r/>
          </w:p>
        </w:tc>
      </w:tr>
      <w:tr>
        <w:trPr>
          <w:jc w:val="center"/>
          <w:trHeight w:val="126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通过数据在线迁移模块完成新旧系统数据首次初始化，同步期间对生产库无影响，不需要停止业务，迁移期间预计</w:t>
            </w:r>
            <w:bookmarkStart w:id="117" w:name="_Hlk197936009"/>
            <w:r>
              <w:rPr>
                <w:rFonts w:hint="eastAsia" w:ascii="宋体" w:hAnsi="宋体" w:eastAsia="宋体" w:cs="宋体"/>
                <w:sz w:val="24"/>
              </w:rPr>
              <w:t xml:space="preserve">对生产库CPU消耗小于10%,对内存占用小于450M</w:t>
            </w:r>
            <w:bookmarkEnd w:id="117"/>
            <w:r>
              <w:rPr>
                <w:rFonts w:hint="eastAsia" w:ascii="宋体" w:hAnsi="宋体" w:eastAsia="宋体" w:cs="宋体"/>
                <w:sz w:val="24"/>
              </w:rPr>
              <w:t xml:space="preserve">，尤其在业务高峰期，对迁移通道数据流量进行控制。</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数据初始化完成后，通过数据迁移增量模块完成新旧系统增量数据同步，系统进入实时同步状态</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通过数据一致性比对模块对新旧系统数据库层数据完整性和一致性比对（条数/内容），并出具相关报告</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配合应用对新数据库环境进行全流程的模拟测试</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754" w:type="dxa"/>
            <w:vAlign w:val="center"/>
            <w:vMerge w:val="restart"/>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正式迁移阶段</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应用测试无误后，再次检查新旧生产环境</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再次完成新旧系统数据首次初始化，本次初始化时间和第一次初始化完成时间一致</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完成新旧系统增量数据同步，系统进入实时同步状态</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新旧系统数据库层数据完整性和一致性比对，并出具相关报告</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center"/>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正式割接（系统割接时间预计 不超过2小时）</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1754" w:type="dxa"/>
            <w:vAlign w:val="center"/>
            <w:vMerge w:val="restart"/>
            <w:textDirection w:val="lrTb"/>
            <w:noWrap w:val="false"/>
          </w:tcPr>
          <w:p>
            <w:pPr>
              <w:jc w:val="center"/>
              <w:spacing w:line="240" w:lineRule="atLeast"/>
              <w:rPr>
                <w:rFonts w:ascii="宋体" w:hAnsi="宋体" w:eastAsia="宋体" w:cs="宋体"/>
                <w:sz w:val="24"/>
              </w:rPr>
            </w:pPr>
            <w:r>
              <w:rPr>
                <w:rFonts w:hint="eastAsia" w:ascii="宋体" w:hAnsi="宋体" w:eastAsia="宋体" w:cs="宋体"/>
                <w:sz w:val="24"/>
              </w:rPr>
              <w:t xml:space="preserve">迁移完成阶段</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新系统上线观察和运维期，期间对新系统数据库各项性能指标进行监测，按照实际情况对新系统数据库参数进行调优，并出具针对本次迁移的总结报告，移交相关运维文档</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54" w:type="dxa"/>
            <w:vAlign w:val="center"/>
            <w:vMerge w:val="continue"/>
            <w:textDirection w:val="lrTb"/>
            <w:noWrap w:val="false"/>
          </w:tcPr>
          <w:p>
            <w:pPr>
              <w:jc w:val="left"/>
              <w:spacing w:line="240" w:lineRule="atLeas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spacing w:line="240" w:lineRule="atLeast"/>
              <w:rPr>
                <w:rFonts w:ascii="宋体" w:hAnsi="宋体" w:eastAsia="宋体" w:cs="宋体"/>
                <w:sz w:val="24"/>
              </w:rPr>
            </w:pPr>
            <w:r>
              <w:rPr>
                <w:rFonts w:hint="eastAsia" w:ascii="宋体" w:hAnsi="宋体" w:eastAsia="宋体" w:cs="宋体"/>
                <w:sz w:val="24"/>
              </w:rPr>
              <w:t xml:space="preserve">待新系统稳定运行后，重新搭建备份库，恢复到省厅汇聚库同步链路</w:t>
            </w:r>
            <w:r/>
          </w:p>
        </w:tc>
      </w:tr>
    </w:tbl>
    <w:p>
      <w:pPr>
        <w:ind w:firstLine="480"/>
        <w:widowControl/>
        <w:rPr>
          <w:rFonts w:ascii="宋体" w:hAnsi="宋体" w:eastAsia="宋体" w:cs="宋体"/>
          <w:sz w:val="24"/>
          <w:szCs w:val="20"/>
        </w:rPr>
      </w:pPr>
      <w:r>
        <w:rPr>
          <w:rFonts w:hint="eastAsia" w:ascii="宋体" w:hAnsi="宋体" w:eastAsia="宋体" w:cs="宋体"/>
          <w:sz w:val="24"/>
          <w:szCs w:val="20"/>
        </w:rPr>
        <w:t xml:space="preserve">（1）迁移准备-数据库层面</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原生产库准备：清理/区分无用的表；整理出可以不停应用，预先迁移的历史、静态表的列表；整理出需要停应用才能迁移的其它表（以下称第二阶段迁移的表）的列表；整理出数据库本身JOB/计划任务等；对原生产库数据进行备份，保证一份准确的数据副本。</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新生产库库准备：新库库名要与原库完全一致；导入生产库的所有用户、代理作业、schema、链接服务。</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（2）迁移准备-应用层面</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本次迁移搭建基于新库的应用环境，在新库上对业务进行全流程测试，确认无误后，方可正式迁移。</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（3）预迁移演练和测试</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最大限度的优化迁移步骤；比较真实的评估各迁移步骤的消耗时间；</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了解基于新库的应用是否能正常运行；</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从生产库导出所有表和对象到新库；</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用于验证数据迁移的准确性；</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测试基于新库的应用是否正常；</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经确定迁移演练已经完成后,并且数据已经全部迁移到新的平台数据库中,进行全业务测试覆盖表和流程测试；</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底层的数据验证工作：首先对表的数据进行count，如果两边count一致，再做minus比对。如果count不一致，默认为失败。在比对过程中，处理出错的表；</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应用功能测试：主要在数据库迁移之后，对整个系统的功能做全面测试；</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性能测试：在功能正确的前提下，对业务办理的速度，开通速度等跟数据库迁移相关的业务进行测试，校验数据库迁移之后数据库的存取速度是否有影响。</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（4）数据全量初始化迁移</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在原系统业务不中断的情况下，通过迁移的首次同步功能，将源端所有表和数据同步至新系统。该过程需要时间较长，根据前期演练的情况，迁移顺利和所需时间具体根据现场情况。</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（5）数据增量迁移</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将在数据初始化迁移过程中新增加的数据同步到新系统上，并且在割接前保持新警综系统与原系统的实时同步；等完成所有的数据迁移之后，开始统计信息的迁移，确保迁移后的SQL执行计划和原来一样，尽量降低迁移之后出现性能问题。</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（6）数据一致性验证</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迁移结束后，最主要的是对迁移的数据进行验证。</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数据验证包括两个方面内容：</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数据层一致性验证：提供的数据比对模块，可以比较迁移前后的系统数据是否完全一致。</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应用层数据验证：从应用层面开展数据校验，对生产环境和迁移之后环境上的数据进行抽样验证。</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（7）迁移回退</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在数据迁移的过程中，如果迁移数据不一致将会严重影响业务的使用，数据迁移将进行回退。</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数据库迁移在如下情况下是不成功的，将进行回退：</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在数据验证正确，没有发现数据丢失，但是业务办理不成功，功能测试不能完全通过；</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在数据验证正确，没有发现数据丢失，但是业务性能显著下降；</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数据验证不正确，找不到详细原因；</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数据迁移在规定时间内不能迁移完成。</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除以上情况外，若迁移之后数据校验立即发现数据不对，则应用系统指向不变，依然用老系统进行业务受理即可。</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若业务已迁移，已有业务办理一段时间之后发现数据差异较大，且没有办法通过再次同步解决的，需要考虑回退处理。步骤如下：</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停止业务办理---更改配置，指向旧系统--若新库里面的新数据可用，则采用后台同步的方式进行处理--若新库里面的数据不可用，则暂停后台业务，通过业务部分补录新库里面办理的业务，保证各种数据一致，校验检查测试完成后，恢复后台服务。</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4.3分布式存储文件数据迁移服务</w:t>
      </w:r>
      <w:r/>
    </w:p>
    <w:p>
      <w:pPr>
        <w:ind w:firstLine="480"/>
        <w:widowControl/>
        <w:rPr>
          <w:rFonts w:ascii="宋体" w:hAnsi="宋体" w:eastAsia="宋体" w:cs="宋体"/>
          <w:sz w:val="24"/>
          <w:szCs w:val="20"/>
        </w:rPr>
      </w:pPr>
      <w:r>
        <w:rPr>
          <w:rFonts w:hint="eastAsia" w:ascii="宋体" w:hAnsi="宋体" w:eastAsia="宋体" w:cs="宋体"/>
          <w:sz w:val="24"/>
          <w:szCs w:val="20"/>
        </w:rPr>
        <w:t xml:space="preserve">4.3.1 迁移设计说明</w:t>
      </w:r>
      <w:r/>
    </w:p>
    <w:p>
      <w:pPr>
        <w:jc w:val="left"/>
        <w:rPr>
          <w:rFonts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5610225" cy="1819275"/>
                <wp:effectExtent l="0" t="0" r="9525" b="9525"/>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r/>
                      </pic:nvPicPr>
                      <pic:blipFill>
                        <a:blip r:embed="rId20"/>
                        <a:stretch/>
                      </pic:blipFill>
                      <pic:spPr bwMode="auto">
                        <a:xfrm>
                          <a:off x="0" y="0"/>
                          <a:ext cx="5610225" cy="181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1.8pt;height:143.2pt;mso-wrap-distance-left:0.0pt;mso-wrap-distance-top:0.0pt;mso-wrap-distance-right:0.0pt;mso-wrap-distance-bottom:0.0pt;" stroked="f">
                <v:path textboxrect="0,0,0,0"/>
                <v:imagedata r:id="rId20" o:title=""/>
              </v:shape>
            </w:pict>
          </mc:Fallback>
        </mc:AlternateConten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通过高速文件存储迁移技术，将老版警综平台电子卷宗系统对应的分布式存储中的文件及目录全量通过多路复制、并发装载的方式，快速复制到华为云对象存储中，迁移数据总量约80T。</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（1）数据迁移期间业务系统不停机，正式割接停机时间不超过1个小时。</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（2）新旧文件存储系统迁移后数据必须保持一致。</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（3）迁移回退和数据保障方案快速可靠。</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（4）新文件存储系统迁移完成后运行稳定高效。</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4.3.2 迁移步骤详细说明</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（1）数据全量迁移</w:t>
      </w:r>
      <w:r/>
    </w:p>
    <w:p>
      <w:pPr>
        <w:ind w:firstLine="480"/>
        <w:jc w:val="center"/>
        <w:rPr>
          <w:rFonts w:ascii="宋体" w:hAnsi="宋体" w:eastAsia="宋体" w:cs="宋体"/>
          <w:sz w:val="24"/>
          <w:szCs w:val="20"/>
        </w:rPr>
      </w:pPr>
      <w:r>
        <w:rPr>
          <w:rFonts w:ascii="宋体" w:hAnsi="宋体" w:eastAsia="宋体" w:cs="宋体"/>
          <w:color w:val="000000"/>
          <w:sz w:val="24"/>
        </w:rPr>
        <mc:AlternateContent>
          <mc:Choice Requires="wpg">
            <w:drawing>
              <wp:inline xmlns:wp="http://schemas.openxmlformats.org/drawingml/2006/wordprocessingDrawing" distT="0" distB="0" distL="0" distR="0">
                <wp:extent cx="5105400" cy="130492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5105400" cy="1304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2.0pt;height:102.8pt;mso-wrap-distance-left:0.0pt;mso-wrap-distance-top:0.0pt;mso-wrap-distance-right:0.0pt;mso-wrap-distance-bottom:0.0pt;" stroked="f">
                <v:path textboxrect="0,0,0,0"/>
                <v:imagedata r:id="rId21" o:title=""/>
              </v:shape>
            </w:pict>
          </mc:Fallback>
        </mc:AlternateConten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将老版警综平台电子卷宗系统指定目录下的所有文件及目录全部迁移传输到目标对象存储的指定目录中。不仅需要迁移全部文件内容，且文件的时间戳等信息也会一并迁移至目标电子卷宗系统中。同时支持块级别文件迁移，当文件发生部分变更时，只同步变更部分文件内容，提升频繁变化大文件的迁移效率。</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（2）数据增量迁移</w:t>
      </w:r>
      <w:r/>
    </w:p>
    <w:p>
      <w:pPr>
        <w:ind w:firstLine="480"/>
        <w:jc w:val="center"/>
        <w:rPr>
          <w:rFonts w:ascii="宋体" w:hAnsi="宋体" w:eastAsia="宋体" w:cs="宋体"/>
          <w:sz w:val="24"/>
          <w:szCs w:val="20"/>
        </w:rPr>
      </w:pPr>
      <w:r>
        <w:rPr>
          <w:rFonts w:ascii="宋体" w:hAnsi="宋体" w:eastAsia="宋体" w:cs="宋体"/>
          <w:color w:val="000000"/>
          <w:sz w:val="24"/>
        </w:rPr>
        <mc:AlternateContent>
          <mc:Choice Requires="wpg">
            <w:drawing>
              <wp:inline xmlns:wp="http://schemas.openxmlformats.org/drawingml/2006/wordprocessingDrawing" distT="0" distB="0" distL="0" distR="0">
                <wp:extent cx="5076825" cy="126682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5076825" cy="12668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9.8pt;height:99.8pt;mso-wrap-distance-left:0.0pt;mso-wrap-distance-top:0.0pt;mso-wrap-distance-right:0.0pt;mso-wrap-distance-bottom:0.0pt;" stroked="f">
                <v:path textboxrect="0,0,0,0"/>
                <v:imagedata r:id="rId22" o:title=""/>
              </v:shape>
            </w:pict>
          </mc:Fallback>
        </mc:AlternateConten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迁移并记录了老版警综平台电子卷宗系统文件的时间戳信息，当文件再次发生变更时，老版警综平台电子卷宗文件时间戳和目标端电子卷宗系统文件时间戳产生差异，根据该文件的差异变更，完成增量迁移。</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（3）迁移文件比对</w:t>
      </w:r>
      <w:r/>
    </w:p>
    <w:p>
      <w:pPr>
        <w:ind w:firstLine="480"/>
        <w:jc w:val="center"/>
        <w:rPr>
          <w:rFonts w:ascii="宋体" w:hAnsi="宋体" w:eastAsia="宋体" w:cs="宋体"/>
          <w:sz w:val="24"/>
          <w:szCs w:val="20"/>
        </w:rPr>
      </w:pPr>
      <w:r>
        <w:rPr>
          <w:rFonts w:ascii="宋体" w:hAnsi="宋体" w:eastAsia="宋体" w:cs="宋体"/>
          <w:color w:val="000000"/>
          <w:sz w:val="24"/>
        </w:rPr>
        <mc:AlternateContent>
          <mc:Choice Requires="wpg">
            <w:drawing>
              <wp:inline xmlns:wp="http://schemas.openxmlformats.org/drawingml/2006/wordprocessingDrawing" distT="0" distB="0" distL="0" distR="0">
                <wp:extent cx="2705100" cy="24003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3"/>
                        <a:stretch/>
                      </pic:blipFill>
                      <pic:spPr bwMode="auto">
                        <a:xfrm>
                          <a:off x="0" y="0"/>
                          <a:ext cx="2705100" cy="24003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3.0pt;height:189.0pt;mso-wrap-distance-left:0.0pt;mso-wrap-distance-top:0.0pt;mso-wrap-distance-right:0.0pt;mso-wrap-distance-bottom:0.0pt;" stroked="f">
                <v:path textboxrect="0,0,0,0"/>
                <v:imagedata r:id="rId23" o:title=""/>
              </v:shape>
            </w:pict>
          </mc:Fallback>
        </mc:AlternateConten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迁移文件比对：通过比对源和目标文件的：“文件大小”+“文件时间戳”+“文件HASH值”来判定文件内容是否一致。支持三种比对组合方式：</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文件大小+时间戳：适用于快速比对。</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文件大小+HASH值：适用于文件手动拷贝后比对。</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文件大小+时间戳+HASH值：全面比对方式。</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（4）文件迁移过滤</w:t>
      </w:r>
      <w:r/>
    </w:p>
    <w:p>
      <w:pPr>
        <w:ind w:firstLine="480"/>
        <w:jc w:val="center"/>
        <w:rPr>
          <w:rFonts w:ascii="宋体" w:hAnsi="宋体" w:eastAsia="宋体" w:cs="宋体"/>
          <w:sz w:val="24"/>
          <w:szCs w:val="20"/>
        </w:rPr>
      </w:pPr>
      <w:r>
        <w:rPr>
          <w:rFonts w:ascii="宋体" w:hAnsi="宋体" w:eastAsia="宋体" w:cs="宋体"/>
          <w:color w:val="000000"/>
          <w:sz w:val="24"/>
        </w:rPr>
        <mc:AlternateContent>
          <mc:Choice Requires="wpg">
            <w:drawing>
              <wp:inline xmlns:wp="http://schemas.openxmlformats.org/drawingml/2006/wordprocessingDrawing" distT="0" distB="0" distL="0" distR="0">
                <wp:extent cx="4657725" cy="142875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4"/>
                        <a:stretch/>
                      </pic:blipFill>
                      <pic:spPr bwMode="auto">
                        <a:xfrm>
                          <a:off x="0" y="0"/>
                          <a:ext cx="4657725" cy="1428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6.8pt;height:112.5pt;mso-wrap-distance-left:0.0pt;mso-wrap-distance-top:0.0pt;mso-wrap-distance-right:0.0pt;mso-wrap-distance-bottom:0.0pt;" stroked="f">
                <v:path textboxrect="0,0,0,0"/>
                <v:imagedata r:id="rId24" o:title=""/>
              </v:shape>
            </w:pict>
          </mc:Fallback>
        </mc:AlternateConten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匹配老版警综平台电子卷宗迁移的文件和目录的全路径，全路径中包含过滤条件的文件和目录则过滤不进行迁移。包含过滤某种类型的文件和过滤某个目录，同时支持过滤删除文件操作。即老版警综平台电子卷宗系统执行了文件删除操作，不迁移删除操作，目标端仍保留文件。这样当源端发生了误操作删除文件时，仍可从目标端找回丢失的文件。</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（5）迁移多并发装载</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对老版警综平台电子卷宗迁移过程中，支持多线程对文件进行并发复制，可根据现场需求，设置并发线程数，多复制线程并行操作实现数据的高速迁移。</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（6）迁移文件编码转换迁移</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当老版警综平台电子卷宗主机字符编码与目标端主机字符编码不一致，则需要迁移过程中对文件名称进行编码转换。</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（7）迁移过程中网络故障恢复和断点续传</w:t>
      </w:r>
      <w:r/>
    </w:p>
    <w:p>
      <w:pPr>
        <w:ind w:firstLine="480"/>
        <w:jc w:val="left"/>
        <w:rPr>
          <w:rFonts w:ascii="宋体" w:hAnsi="宋体" w:eastAsia="宋体" w:cs="宋体"/>
          <w:sz w:val="24"/>
          <w:szCs w:val="20"/>
        </w:rPr>
      </w:pPr>
      <w:r>
        <w:rPr>
          <w:rFonts w:hint="eastAsia" w:ascii="宋体" w:hAnsi="宋体" w:eastAsia="宋体" w:cs="宋体"/>
          <w:sz w:val="24"/>
          <w:szCs w:val="20"/>
        </w:rPr>
        <w:t xml:space="preserve">在网络故障，例如存在丢包的情况，会导致迁移过程中的文件失败。对于失败的文件块，首先判断失败的原因是不是因为网络原因引起的，若是，则老版警综平台电子卷宗源端重新发起向目标端的网络连接，重连成功后从失败的文件块开始传输数据，完成迁移。</w:t>
      </w:r>
      <w:r/>
    </w:p>
    <w:p>
      <w:pPr>
        <w:ind w:firstLine="360"/>
        <w:jc w:val="left"/>
        <w:spacing w:before="100" w:beforeAutospacing="1" w:after="100" w:afterAutospacing="1"/>
        <w:rPr>
          <w:rFonts w:ascii="宋体" w:hAnsi="宋体" w:eastAsia="宋体" w:cs="宋体"/>
          <w:b/>
          <w:bCs/>
          <w:sz w:val="36"/>
          <w:szCs w:val="36"/>
        </w:rPr>
        <w:outlineLvl w:val="1"/>
      </w:pPr>
      <w:r>
        <w:rPr>
          <w:rFonts w:ascii="宋体" w:hAnsi="宋体" w:eastAsia="宋体" w:cs="宋体"/>
          <w:b/>
          <w:bCs/>
          <w:sz w:val="36"/>
          <w:szCs w:val="36"/>
        </w:rPr>
        <w:t xml:space="preserve">四、技术参数要求</w:t>
      </w:r>
      <w:r/>
    </w:p>
    <w:p>
      <w:pPr>
        <w:ind w:firstLine="472"/>
        <w:rPr>
          <w:rFonts w:ascii="宋体" w:hAnsi="宋体" w:eastAsia="宋体" w:cs="宋体"/>
          <w:spacing w:val="-2"/>
          <w:sz w:val="24"/>
        </w:rPr>
      </w:pPr>
      <w:r>
        <w:rPr>
          <w:rFonts w:hint="eastAsia" w:ascii="宋体" w:hAnsi="宋体" w:eastAsia="宋体" w:cs="宋体"/>
          <w:b/>
          <w:bCs/>
          <w:spacing w:val="-2"/>
          <w:sz w:val="24"/>
        </w:rPr>
        <w:t xml:space="preserve">1、容灾备份库实时同步软件</w:t>
      </w:r>
      <w:r/>
    </w:p>
    <w:tbl>
      <w:tblPr>
        <w:tblStyle w:val="75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93"/>
      </w:tblGrid>
      <w:tr>
        <w:trPr>
          <w:jc w:val="center"/>
          <w:trHeight w:val="567"/>
        </w:trPr>
        <w:tc>
          <w:tcPr>
            <w:shd w:val="clear" w:color="000000" w:fill="auto"/>
            <w:tcW w:w="8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序号</w:t>
            </w:r>
            <w:r/>
          </w:p>
        </w:tc>
        <w:tc>
          <w:tcPr>
            <w:shd w:val="clear" w:color="000000" w:fill="auto"/>
            <w:tcW w:w="769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技术参数要求</w:t>
            </w:r>
            <w:r/>
          </w:p>
        </w:tc>
      </w:tr>
      <w:tr>
        <w:trPr>
          <w:jc w:val="center"/>
          <w:trHeight w:val="563"/>
        </w:trPr>
        <w:tc>
          <w:tcPr>
            <w:shd w:val="clear" w:color="000000" w:fill="auto"/>
            <w:tcW w:w="8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c>
          <w:tcPr>
            <w:tcW w:w="7693"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必须支持异地容灾，生产库发生灾难后，备库可提升为主库，可读可写，实现建立数据抽取前置实时库要求。</w:t>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w:t>
            </w:r>
            <w:r/>
          </w:p>
        </w:tc>
        <w:tc>
          <w:tcPr>
            <w:shd w:val="clear" w:color="000000" w:fill="auto"/>
            <w:tcW w:w="7693" w:type="dxa"/>
            <w:vAlign w:val="center"/>
            <w:textDirection w:val="lrTb"/>
            <w:noWrap w:val="false"/>
          </w:tcPr>
          <w:p>
            <w:pPr>
              <w:jc w:val="left"/>
              <w:rPr>
                <w:rFonts w:ascii="宋体" w:hAnsi="宋体" w:eastAsia="宋体" w:cs="宋体"/>
                <w:sz w:val="24"/>
                <w:lang w:bidi="en-US"/>
              </w:rPr>
            </w:pPr>
            <w:r>
              <w:rPr>
                <w:rFonts w:hint="eastAsia" w:ascii="宋体" w:hAnsi="宋体" w:eastAsia="宋体" w:cs="宋体"/>
                <w:sz w:val="24"/>
              </w:rPr>
              <w:t xml:space="preserve">支持基于数据库在线重做日志的分析复制，支持以逻辑复制的方式将源端数据复制到目标端，并支持在目标端实现复制数据的自动加载；</w:t>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软件须具备日志的数据同步技术，不依赖源库触发器或者规则，对主机源数据库系统无影响</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支持基于rowid方式数据实时同步，支持数据库全库、增量、双向复制等功能；</w:t>
            </w:r>
            <w:r>
              <w:rPr>
                <w:color w:val="000000" w:themeColor="text1"/>
              </w:rPr>
            </w:r>
            <w:r/>
          </w:p>
        </w:tc>
      </w:tr>
      <w:tr>
        <w:trPr>
          <w:jc w:val="center"/>
          <w:trHeight w:val="144"/>
        </w:trPr>
        <w:tc>
          <w:tcPr>
            <w:shd w:val="clear" w:color="000000" w:fill="auto"/>
            <w:tcW w:w="811" w:type="dxa"/>
            <w:vAlign w:val="center"/>
            <w:textDirection w:val="lrTb"/>
            <w:noWrap w:val="false"/>
          </w:tcPr>
          <w:p>
            <w:pPr>
              <w:jc w:val="center"/>
              <w:rPr>
                <w:rFonts w:ascii="Calibri" w:hAnsi="Calibri" w:eastAsia="Arial" w:cs="Arial"/>
                <w:color w:val="000000" w:themeColor="text1"/>
              </w:rPr>
            </w:pPr>
            <w:r>
              <w:rPr>
                <w:rFonts w:hint="eastAsia" w:ascii="宋体" w:hAnsi="宋体" w:eastAsia="宋体" w:cs="宋体"/>
                <w:color w:val="000000" w:themeColor="text1"/>
                <w:sz w:val="24"/>
              </w:rPr>
              <w:t xml:space="preserve">5</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▲支持增量数据实时同步效率每小时不低于200GB/小时（</w:t>
            </w:r>
            <w:r>
              <w:rPr>
                <w:rFonts w:hint="eastAsia" w:ascii="宋体" w:hAnsi="宋体" w:eastAsia="宋体" w:cs="宋体"/>
                <w:b/>
                <w:bCs/>
                <w:color w:val="000000" w:themeColor="text1"/>
                <w:sz w:val="24"/>
              </w:rPr>
              <w:t xml:space="preserve">提供原厂商此项功能官网截图证明并加盖投标人公章</w:t>
            </w:r>
            <w:r>
              <w:rPr>
                <w:rFonts w:hint="eastAsia" w:ascii="宋体" w:hAnsi="宋体" w:eastAsia="宋体" w:cs="宋体"/>
                <w:color w:val="000000" w:themeColor="text1"/>
                <w:sz w:val="24"/>
              </w:rPr>
              <w:t xml:space="preserve">）；</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rPr>
            </w:pPr>
            <w:r>
              <w:rPr>
                <w:rFonts w:hint="eastAsia" w:ascii="宋体" w:hAnsi="宋体" w:eastAsia="宋体" w:cs="宋体"/>
                <w:color w:val="000000" w:themeColor="text1"/>
              </w:rPr>
              <w:t xml:space="preserve">6</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支持中间机部署模式，无需在生产数据库服务器上安装代理程序</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针对不同数据库的部分非法数据，须支持不同数据库类型的语法、对象自动按照目标端规范调整适配</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cs="宋体"/>
                <w:color w:val="000000" w:themeColor="text1"/>
                <w:sz w:val="24"/>
              </w:rPr>
              <w:t xml:space="preserve">▲</w:t>
            </w:r>
            <w:r>
              <w:rPr>
                <w:rFonts w:hint="eastAsia" w:ascii="宋体" w:hAnsi="宋体" w:eastAsia="宋体" w:cs="宋体"/>
                <w:color w:val="000000" w:themeColor="text1"/>
                <w:sz w:val="24"/>
              </w:rPr>
              <w:t xml:space="preserve">软件支持同步数据可配置，根据实际需求进行同步条件的过滤，支持同步表上的过滤和转换规则（</w:t>
            </w:r>
            <w:r>
              <w:rPr>
                <w:rFonts w:hint="eastAsia" w:ascii="宋体" w:hAnsi="宋体" w:eastAsia="宋体" w:cs="宋体"/>
                <w:b/>
                <w:bCs/>
                <w:color w:val="000000" w:themeColor="text1"/>
                <w:sz w:val="24"/>
              </w:rPr>
              <w:t xml:space="preserve">提供此项功能性截图文件并加盖投标人公章</w:t>
            </w:r>
            <w:r>
              <w:rPr>
                <w:rFonts w:hint="eastAsia" w:ascii="宋体" w:hAnsi="宋体" w:eastAsia="宋体" w:cs="宋体"/>
                <w:color w:val="000000" w:themeColor="text1"/>
                <w:sz w:val="24"/>
              </w:rPr>
              <w:t xml:space="preserve">）</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9</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支持一对一，双向，一对多，多对一，和级联复制；</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10</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软件支持执行插入、更新和删除数据增量同步延时测试，各操作的响应时间小于0.5秒</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11</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支持从多个数据库中同一类型表的记录整合到一个表中去；支持数据转换，包括列映射、增/删除列、列转换；</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12</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i/>
                <w:iCs/>
                <w:color w:val="000000" w:themeColor="text1"/>
                <w:sz w:val="24"/>
                <w:u w:val="single"/>
              </w:rPr>
            </w:pPr>
            <w:r>
              <w:rPr>
                <w:rFonts w:hint="eastAsia" w:ascii="宋体" w:hAnsi="宋体" w:eastAsia="宋体" w:cs="宋体"/>
                <w:i/>
                <w:iCs/>
                <w:color w:val="000000" w:themeColor="text1"/>
                <w:sz w:val="24"/>
                <w:u w:val="single"/>
              </w:rPr>
              <w:t xml:space="preserve">★系统应支持关键表保护机制，以防止因误操作导致的数据丢失。具体要求如下：</w:t>
            </w:r>
            <w:r>
              <w:rPr>
                <w:color w:val="000000" w:themeColor="text1"/>
              </w:rPr>
            </w:r>
            <w:r/>
          </w:p>
          <w:p>
            <w:pPr>
              <w:jc w:val="left"/>
              <w:rPr>
                <w:rFonts w:ascii="宋体" w:hAnsi="宋体" w:eastAsia="宋体" w:cs="宋体"/>
                <w:i/>
                <w:iCs/>
                <w:color w:val="000000" w:themeColor="text1"/>
                <w:sz w:val="24"/>
                <w:u w:val="single"/>
              </w:rPr>
            </w:pPr>
            <w:r>
              <w:rPr>
                <w:rFonts w:hint="eastAsia" w:ascii="宋体" w:hAnsi="宋体" w:eastAsia="宋体" w:cs="宋体"/>
                <w:i/>
                <w:iCs/>
                <w:color w:val="000000" w:themeColor="text1"/>
                <w:sz w:val="24"/>
                <w:u w:val="single"/>
              </w:rPr>
              <w:t xml:space="preserve">当源端数据库对关键表执行 DROP 操作时，系统应实时检测并同步该操作至目标端；目标端在同步执行 DROP 操作 后，应表现为目标端已删除该表，即查询时无该表或无相关数据；同时，系统应自动对被删除的关键表进行备份，在目标端生成一份名称区分的备份表，备份表内容应与被删除前的表数据完全一致，以便后续恢复或审计使用。</w:t>
            </w:r>
            <w:r>
              <w:rPr>
                <w:color w:val="000000" w:themeColor="text1"/>
              </w:rPr>
            </w:r>
            <w:r/>
          </w:p>
          <w:p>
            <w:pPr>
              <w:jc w:val="left"/>
              <w:rPr>
                <w:rFonts w:ascii="宋体" w:hAnsi="宋体" w:eastAsia="宋体" w:cs="宋体"/>
                <w:color w:val="000000" w:themeColor="text1"/>
                <w:sz w:val="24"/>
              </w:rPr>
            </w:pPr>
            <w:r>
              <w:rPr>
                <w:rFonts w:hint="eastAsia" w:ascii="宋体" w:hAnsi="宋体" w:eastAsia="宋体" w:cs="宋体"/>
                <w:b/>
                <w:bCs/>
                <w:i/>
                <w:iCs/>
                <w:color w:val="000000" w:themeColor="text1"/>
                <w:sz w:val="24"/>
                <w:u w:val="single"/>
              </w:rPr>
              <w:t xml:space="preserve">（提供此项功能截图并加盖投标人公章，截图内容为真实环境或者自己搭建模拟环境）</w:t>
            </w:r>
            <w:r>
              <w:rPr>
                <w:rFonts w:hint="eastAsia" w:ascii="宋体" w:hAnsi="宋体" w:eastAsia="宋体" w:cs="宋体"/>
                <w:i/>
                <w:iCs/>
                <w:color w:val="000000" w:themeColor="text1"/>
                <w:sz w:val="24"/>
                <w:u w:val="single"/>
              </w:rPr>
              <w:t xml:space="preserve">。</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13</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支持故障报警功能：如数据复制任务异常，源端主机或目标环境发生改变等影响灾备任务执行的警告。</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14</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▲支持数据库状态监控，会话、连接数、表空间使用率、生产容灾延迟等（</w:t>
            </w:r>
            <w:r>
              <w:rPr>
                <w:rFonts w:hint="eastAsia" w:ascii="宋体" w:hAnsi="宋体" w:eastAsia="宋体" w:cs="宋体"/>
                <w:b/>
                <w:bCs/>
                <w:color w:val="000000" w:themeColor="text1"/>
                <w:sz w:val="24"/>
              </w:rPr>
              <w:t xml:space="preserve">提供此项功能性截图文件并加盖投标人公章</w:t>
            </w:r>
            <w:r>
              <w:rPr>
                <w:rFonts w:hint="eastAsia" w:ascii="宋体" w:hAnsi="宋体" w:eastAsia="宋体" w:cs="宋体"/>
                <w:color w:val="000000" w:themeColor="text1"/>
                <w:sz w:val="24"/>
              </w:rPr>
              <w:t xml:space="preserve">）。</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15</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遇到系统错误引起的复制中断时，例如硬件故障、数据库故障、网络中断或延迟，支持分级存储机制，能完好保存已经合成的交易信息，避免数据丢失，直到系统故障解决，恢复从队列传输的中断点开始（</w:t>
            </w:r>
            <w:r>
              <w:rPr>
                <w:rFonts w:hint="eastAsia" w:ascii="宋体" w:hAnsi="宋体" w:eastAsia="宋体" w:cs="宋体"/>
                <w:b/>
                <w:bCs/>
                <w:color w:val="000000" w:themeColor="text1"/>
                <w:sz w:val="24"/>
              </w:rPr>
              <w:t xml:space="preserve">提供此项功能截图文件并加盖投标人公章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16</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生产灾备切换后，支持快速的增量回切、全量回切功能；</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17</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软件能够将核心生产库数据实时同步到目标数据库，同时记录数据内容/操作类型（插入/删除/更新之前/更新之后）/操作时间，记录某些行数据的操作时间/操作类型/操作之前内容，做到生产库数据被人为恶意篡改的数据回溯、数据保护（</w:t>
            </w:r>
            <w:r>
              <w:rPr>
                <w:rFonts w:hint="eastAsia" w:ascii="宋体" w:hAnsi="宋体" w:eastAsia="宋体" w:cs="宋体"/>
                <w:b/>
                <w:bCs/>
                <w:color w:val="000000" w:themeColor="text1"/>
                <w:sz w:val="24"/>
              </w:rPr>
              <w:t xml:space="preserve">提供此项功能截图文件并加盖投标人公章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jc w:val="cente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18</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把数据表发布到对应的目录下，形成大数据服务门户（库表、接口、文件数据服务方式；支持容灾数据资产管理功能，具备数据查询检索、数据申请订阅、数据共享交换功能，同时用于指导后续按照主题域划分逐步进行数据治理（</w:t>
            </w:r>
            <w:r>
              <w:rPr>
                <w:rFonts w:hint="eastAsia" w:ascii="宋体" w:hAnsi="宋体" w:eastAsia="宋体" w:cs="宋体"/>
                <w:b/>
                <w:bCs/>
                <w:color w:val="000000" w:themeColor="text1"/>
                <w:sz w:val="24"/>
              </w:rPr>
              <w:t xml:space="preserve">提供此项功能截图文件并加盖投标人公章</w:t>
            </w:r>
            <w:r>
              <w:rPr>
                <w:rFonts w:hint="eastAsia" w:ascii="宋体" w:hAnsi="宋体" w:eastAsia="宋体" w:cs="宋体"/>
                <w:color w:val="000000" w:themeColor="text1"/>
                <w:sz w:val="24"/>
              </w:rPr>
              <w:t xml:space="preserve">）；</w:t>
            </w:r>
            <w:r>
              <w:rPr>
                <w:color w:val="000000" w:themeColor="text1"/>
              </w:rPr>
            </w:r>
            <w:r/>
          </w:p>
        </w:tc>
      </w:tr>
    </w:tbl>
    <w:p>
      <w:pPr>
        <w:ind w:firstLine="472"/>
        <w:rPr>
          <w:rFonts w:ascii="宋体" w:hAnsi="宋体" w:eastAsia="宋体" w:cs="宋体"/>
          <w:color w:val="000000" w:themeColor="text1"/>
          <w:spacing w:val="-2"/>
          <w:sz w:val="24"/>
        </w:rPr>
      </w:pPr>
      <w:r>
        <w:rPr>
          <w:rFonts w:hint="eastAsia" w:ascii="宋体" w:hAnsi="宋体" w:eastAsia="宋体" w:cs="宋体"/>
          <w:b/>
          <w:bCs/>
          <w:color w:val="000000" w:themeColor="text1"/>
          <w:spacing w:val="-2"/>
          <w:sz w:val="24"/>
        </w:rPr>
        <w:t xml:space="preserve">2、新警综平台生产库数据迁移服务</w:t>
      </w:r>
      <w:r>
        <w:rPr>
          <w:color w:val="000000" w:themeColor="text1"/>
        </w:rPr>
      </w:r>
      <w:r/>
    </w:p>
    <w:tbl>
      <w:tblPr>
        <w:tblStyle w:val="758"/>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93"/>
      </w:tblGrid>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shd w:val="clear" w:color="000000" w:fill="auto"/>
            <w:tcW w:w="769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技术参数要求</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服务内容包含核心系统数据库在线迁移服务；能够提供在线不停机数据库迁移服务。</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i/>
                <w:iCs/>
                <w:color w:val="000000" w:themeColor="text1"/>
                <w:sz w:val="24"/>
                <w:u w:val="single"/>
              </w:rPr>
              <w:t xml:space="preserve">★本次需提供专业数据库迁移软件来完成本次数据迁移服务，能够实现核心业务系统数据库数据迁移要求，需满足无限CPU数量数据同步授权许可，投标时必须提供所投数据迁移软件正版许可证明文件，并明确标示此次迁移服务满足无限CPU数量数据同步授权许可。</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为保障生产安全，提供服务所用数据迁移软件部署不得干预源端生产业务，禁止对源端数据库及操作系统做任何的参数修改，禁止重启服务器。</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提供服务所用数据迁移软件必须尽可能少的占用系统资源，CPU占用不大于5%，内存占用不大于1G。</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在数据初始化同步过程中，业务不能停止；在异构平台或跨数据库版本之间的数据初始化过程中不需要人工干预。</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▲支持异构实时同步复制迁移，此次需要支持小型机到X86服务器的数据实时同步（</w:t>
            </w:r>
            <w:r>
              <w:rPr>
                <w:rFonts w:hint="eastAsia" w:ascii="宋体" w:hAnsi="宋体" w:eastAsia="宋体" w:cs="宋体"/>
                <w:b/>
                <w:bCs/>
                <w:color w:val="000000" w:themeColor="text1"/>
                <w:sz w:val="24"/>
              </w:rPr>
              <w:t xml:space="preserve">提供功能截图文件并加盖投标人公章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支持主流异构数据库之间的数据同步迁移</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▲软件支持异构数据库环境下的数据实时复制迁移（两端延时在5秒以内），且目标端数据库可实时查询，当生产端插入（Insert/ Update/delete）一千条数据后，目标端数据库无需启动，始终处于实时打开验证状态，并通过数据库select语句在5秒以内，查询到该一千条数据变化。（</w:t>
            </w:r>
            <w:r>
              <w:rPr>
                <w:rFonts w:hint="eastAsia" w:ascii="宋体" w:hAnsi="宋体" w:eastAsia="宋体" w:cs="宋体"/>
                <w:b/>
                <w:bCs/>
                <w:color w:val="000000" w:themeColor="text1"/>
                <w:sz w:val="24"/>
              </w:rPr>
              <w:t xml:space="preserve">提供此项功能截图并加盖投标人公章，截图内容为真实环境或者自己搭建模拟环境，截图须包括源端、目标端IP地址、数据变化轨迹以及软件运行日志</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9</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提供服务所用数据迁移软件自身自带数据比对平台，支持对数据条数、内容进行对比并展示。</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10</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如果发现迁移数据不一致后能够提供便利的单表以及单用户的数据修复工作，支持抽取非分区表部分全量数据进行修复，如：某段时间，某个主键范围；要求操作简单，修复速度快，且修复过程中不影响业务正常运行；</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11</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i/>
                <w:iCs/>
                <w:color w:val="000000" w:themeColor="text1"/>
                <w:sz w:val="24"/>
                <w:u w:val="single"/>
              </w:rPr>
              <w:t xml:space="preserve">★数据迁移软件需要承诺支持根据用户需求进行功能定制开发。（</w:t>
            </w:r>
            <w:r>
              <w:rPr>
                <w:rFonts w:hint="eastAsia" w:ascii="宋体" w:hAnsi="宋体" w:eastAsia="宋体" w:cs="宋体"/>
                <w:b/>
                <w:bCs/>
                <w:i/>
                <w:iCs/>
                <w:color w:val="000000" w:themeColor="text1"/>
                <w:sz w:val="24"/>
                <w:u w:val="single"/>
              </w:rPr>
              <w:t xml:space="preserve">提供承诺函并加盖投标人公章</w:t>
            </w:r>
            <w:r>
              <w:rPr>
                <w:rFonts w:hint="eastAsia" w:ascii="宋体" w:hAnsi="宋体" w:eastAsia="宋体" w:cs="宋体"/>
                <w:i/>
                <w:iCs/>
                <w:color w:val="000000" w:themeColor="text1"/>
                <w:sz w:val="24"/>
                <w:u w:val="single"/>
              </w:rPr>
              <w:t xml:space="preserve">）</w:t>
            </w:r>
            <w:r>
              <w:rPr>
                <w:color w:val="000000" w:themeColor="text1"/>
              </w:rPr>
            </w:r>
            <w:r/>
          </w:p>
        </w:tc>
      </w:tr>
    </w:tbl>
    <w:p>
      <w:pPr>
        <w:ind w:firstLine="472"/>
        <w:rPr>
          <w:rFonts w:ascii="宋体" w:hAnsi="宋体" w:eastAsia="宋体" w:cs="宋体"/>
          <w:color w:val="000000" w:themeColor="text1"/>
          <w:spacing w:val="-2"/>
          <w:sz w:val="24"/>
        </w:rPr>
      </w:pPr>
      <w:r>
        <w:rPr>
          <w:rFonts w:hint="eastAsia" w:ascii="宋体" w:hAnsi="宋体" w:eastAsia="宋体" w:cs="宋体"/>
          <w:b/>
          <w:bCs/>
          <w:color w:val="000000" w:themeColor="text1"/>
          <w:spacing w:val="-2"/>
          <w:sz w:val="24"/>
        </w:rPr>
        <w:t xml:space="preserve">3、分布式存储文件数据迁移服务</w:t>
      </w:r>
      <w:r>
        <w:rPr>
          <w:color w:val="000000" w:themeColor="text1"/>
        </w:rPr>
      </w:r>
      <w:r/>
    </w:p>
    <w:tbl>
      <w:tblPr>
        <w:tblStyle w:val="758"/>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93"/>
      </w:tblGrid>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shd w:val="clear" w:color="000000" w:fill="auto"/>
            <w:tcW w:w="769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技术参数要求</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i/>
                <w:iCs/>
                <w:color w:val="000000" w:themeColor="text1"/>
                <w:sz w:val="24"/>
                <w:u w:val="single"/>
              </w:rPr>
              <w:t xml:space="preserve">★本次需提供专业的文件数据迁移软件来完成本次数据迁移服务，能够实现核心业务系统文件数据迁移要求，需满足无限CPU数量数据同步授权许可，投标时必须提供文件数据迁移软件正版许可证明文件，并明确标示此次迁移服务满足无限CPU数量数据同步授权许可。</w:t>
            </w:r>
            <w:r>
              <w:rPr>
                <w:color w:val="000000" w:themeColor="text1"/>
              </w:rPr>
            </w:r>
            <w:r/>
          </w:p>
        </w:tc>
      </w:tr>
      <w:tr>
        <w:trPr>
          <w:trHeight w:val="576"/>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提供服务所用文件迁移软件支持对文件数据的同步迁移，包括所有常见文件类型：文本文件、应用程序文件、图像文件、音视频文件和网站文件等；</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提供服务所用文件迁移软件支持文件系统与对象存储的交互复制，对象存储包括但不限于：华为OBS、阿里OSS、天翼云ZOS（</w:t>
            </w:r>
            <w:r>
              <w:rPr>
                <w:rFonts w:hint="eastAsia" w:ascii="宋体" w:hAnsi="宋体" w:eastAsia="宋体" w:cs="宋体"/>
                <w:b/>
                <w:bCs/>
                <w:color w:val="000000" w:themeColor="text1"/>
                <w:sz w:val="24"/>
              </w:rPr>
              <w:t xml:space="preserve">提供此项功能文件并加盖投标人公章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支持多对一、一对多、级联等组网策略和配置迁移。</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迁移过程中无须改造现有生产环境和目标环境, 直接使用现有网络、无须专用链路支持。</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数据迁移过程中无需客户主机或操作系统的系统帐号和密码。</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i/>
                <w:iCs/>
                <w:color w:val="000000" w:themeColor="text1"/>
                <w:sz w:val="24"/>
                <w:u w:val="single"/>
              </w:rPr>
              <w:t xml:space="preserve">★提供服务所用文件迁移软件支持异构操作系统文件复制，文件复制后，目标端与源端文件属性可保持完全一致，如权限、时间、链接等（提供此项功能证明文件并加盖投标人公章）</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提供服务所用文件迁移软件支持集中式、分布式存储系统数据复制，支持异构存储间文件复制，可实现跨虚拟化池、跨存储系统的数据复制；</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9</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支持不同字符集主机之间同步转码；</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10</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▲支持生僻汉字同步、转码，例如：㚁衇衇衈衆衋衅衃衊衉衄衂（</w:t>
            </w:r>
            <w:r>
              <w:rPr>
                <w:rFonts w:hint="eastAsia" w:ascii="宋体" w:hAnsi="宋体" w:eastAsia="宋体" w:cs="宋体"/>
                <w:b/>
                <w:bCs/>
                <w:color w:val="000000" w:themeColor="text1"/>
                <w:sz w:val="24"/>
              </w:rPr>
              <w:t xml:space="preserve">提供此项功能证明文件并加盖投标人公章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90"/>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11</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提供服务所用文件迁移软件在正常工作的情况下能够保持秒级的数据同步延迟，即便在源端负载高峰时间段也能将延迟控制在10秒之内；</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12</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提供服务所用文件迁移软件对源端和目标端的CPU、内存占用率低于5%；</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13</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▲提供服务所用文件迁移软件须自带压缩传输功能，降低数据同步时的网络带宽开销，确保数据同步的高效性；至少支持三种不同的压缩级别（</w:t>
            </w:r>
            <w:r>
              <w:rPr>
                <w:rFonts w:hint="eastAsia" w:ascii="宋体" w:hAnsi="宋体" w:eastAsia="宋体" w:cs="宋体"/>
                <w:b/>
                <w:bCs/>
                <w:color w:val="000000" w:themeColor="text1"/>
                <w:sz w:val="24"/>
              </w:rPr>
              <w:t xml:space="preserve">提供此功能截图文件并加盖投标人公章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14</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提供服务所用文件迁移软件软件具有限速功能，业务高峰时减少生产主机的网络开销；</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15</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提供服务所用文件迁移软件提供定时任务，空闲时间进行同步，可避开白天业务高峰期的资源抢占；</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16</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提供服务所用文件迁移软件支持用户管理策略，支持按需文件复制策略配置，支持过滤指定文件或目录，以避免无效复制占用额外的宽带资源； </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17</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提供服务所用文件迁移软件使用socket等方式来传输文件，优化流程，文件传输效率高。</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18</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提供服务所用文件迁移软件须支持对目标系统文件的准确性验证，确保文件复制的完整性和准确性；支持多种文件完整性验证和一致性验证比对方式，支持“文件大小 + 时间戳”、“文件大小 + CRC32”、“文件大小 + 时间戳 + CRC32”多种比对策略设置；</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19</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文件数据迁移支持两种或以上的一致性验证能力,可周期性验证数据一致性,</w:t>
            </w:r>
            <w:r>
              <w:rPr>
                <w:rFonts w:hint="eastAsia" w:ascii="宋体" w:hAnsi="宋体" w:eastAsia="宋体" w:cs="宋体"/>
                <w:color w:val="000000" w:themeColor="text1"/>
                <w:sz w:val="24"/>
              </w:rPr>
              <w:t xml:space="preserve">并提供验证报告</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20</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▲支持将数据流文件压缩、加密后传输迁移，支持国密算法加解密，密钥长度不小于256位（</w:t>
            </w:r>
            <w:r>
              <w:rPr>
                <w:rFonts w:hint="eastAsia" w:ascii="宋体" w:hAnsi="宋体" w:eastAsia="宋体" w:cs="宋体"/>
                <w:b/>
                <w:bCs/>
                <w:color w:val="000000" w:themeColor="text1"/>
                <w:sz w:val="24"/>
              </w:rPr>
              <w:t xml:space="preserve">提供此功能截图文件并加盖投标人公章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21</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▲提供误删除文件保护功能，对于生产主机误操作删除的文件，提供找回原文件功能（</w:t>
            </w:r>
            <w:r>
              <w:rPr>
                <w:rFonts w:hint="eastAsia" w:ascii="宋体" w:hAnsi="宋体" w:eastAsia="宋体" w:cs="宋体"/>
                <w:b/>
                <w:bCs/>
                <w:color w:val="000000" w:themeColor="text1"/>
                <w:sz w:val="24"/>
              </w:rPr>
              <w:t xml:space="preserve">提供此功能截图文件并加盖投标人公章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22</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支持文件同步迁移实时防病毒保护功能，当生产主机遭遇勒索病毒攻击，文件被加密时，同步程序能够感知到文件被攻击，并立即停止文件同步的实时复制，避免将加密后的文件同步到目标端主机，保障目标端端文件不被勒索病毒加密（</w:t>
            </w:r>
            <w:r>
              <w:rPr>
                <w:rFonts w:hint="eastAsia" w:ascii="宋体" w:hAnsi="宋体" w:eastAsia="宋体" w:cs="宋体"/>
                <w:b/>
                <w:bCs/>
                <w:color w:val="000000" w:themeColor="text1"/>
                <w:sz w:val="24"/>
              </w:rPr>
              <w:t xml:space="preserve">提供此功能截图文件并加盖投标人公章</w:t>
            </w:r>
            <w:r>
              <w:rPr>
                <w:rFonts w:hint="eastAsia" w:ascii="宋体" w:hAnsi="宋体" w:eastAsia="宋体" w:cs="宋体"/>
                <w:color w:val="000000" w:themeColor="text1"/>
                <w:sz w:val="24"/>
              </w:rPr>
              <w:t xml:space="preserve">）；</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23</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在遇到系统错误引起的迁移复制中断时，例如硬件故障、网络中断或延迟，分级存储机制能完好的保存已经合成的交易信息，避免数据丢失，直到系统故障解决，恢复从队列传输的中断点开始；</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24</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提供服务所用文件迁移软件提供统一的管理监控功能，能实现对迁移软件的运行状态、运行日志、系统配置等方面进行统一的管理及监控；</w:t>
            </w:r>
            <w:r>
              <w:rPr>
                <w:color w:val="000000" w:themeColor="text1"/>
              </w:rPr>
            </w:r>
            <w:r/>
          </w:p>
        </w:tc>
      </w:tr>
      <w:tr>
        <w:trPr>
          <w:trHeight w:val="567"/>
        </w:trPr>
        <w:tc>
          <w:tcPr>
            <w:shd w:val="clear" w:color="000000" w:fill="auto"/>
            <w:tcW w:w="811"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25</w:t>
            </w:r>
            <w:r>
              <w:rPr>
                <w:color w:val="000000" w:themeColor="text1"/>
              </w:rPr>
            </w:r>
            <w:r/>
          </w:p>
        </w:tc>
        <w:tc>
          <w:tcPr>
            <w:shd w:val="clear" w:color="000000" w:fill="auto"/>
            <w:tcW w:w="7693"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i/>
                <w:iCs/>
                <w:color w:val="000000" w:themeColor="text1"/>
                <w:sz w:val="24"/>
                <w:u w:val="single"/>
              </w:rPr>
              <w:t xml:space="preserve">★提供服务所用数据迁移软件需要承诺支持根据用户需求进行功能定制开发。（提供承诺函并加盖投标人公章）。</w:t>
            </w:r>
            <w:r>
              <w:rPr>
                <w:color w:val="000000" w:themeColor="text1"/>
              </w:rPr>
            </w:r>
            <w:r/>
          </w:p>
        </w:tc>
      </w:tr>
    </w:tbl>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4、存储扩展柜</w:t>
      </w:r>
      <w:r>
        <w:rPr>
          <w:color w:val="000000" w:themeColor="text1"/>
        </w:rPr>
      </w:r>
      <w:r/>
    </w:p>
    <w:tbl>
      <w:tblPr>
        <w:tblStyle w:val="7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8011"/>
      </w:tblGrid>
      <w:tr>
        <w:trPr>
          <w:trHeight w:val="464"/>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shd w:val="clear" w:color="000000" w:fill="auto"/>
            <w:tcW w:w="7709"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技术参数要求</w:t>
            </w:r>
            <w:r>
              <w:rPr>
                <w:color w:val="000000" w:themeColor="text1"/>
              </w:rPr>
            </w:r>
            <w:r/>
          </w:p>
        </w:tc>
      </w:tr>
      <w:tr>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W w:w="7709"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对原有HDS G200存储进行硬件扩容</w:t>
            </w:r>
            <w:r>
              <w:rPr>
                <w:color w:val="000000" w:themeColor="text1"/>
              </w:rPr>
            </w:r>
            <w:r/>
          </w:p>
        </w:tc>
      </w:tr>
      <w:tr>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000000" w:fill="auto"/>
            <w:tcW w:w="7709" w:type="dxa"/>
            <w:vAlign w:val="center"/>
            <w:textDirection w:val="lrTb"/>
            <w:noWrap w:val="false"/>
          </w:tcPr>
          <w:p>
            <w:pPr>
              <w:jc w:val="left"/>
              <w:rPr>
                <w:rFonts w:hint="eastAsia" w:ascii="宋体" w:hAnsi="宋体" w:eastAsia="宋体" w:cs="宋体"/>
                <w:i/>
                <w:iCs/>
                <w:color w:val="000000" w:themeColor="text1"/>
                <w:sz w:val="24"/>
                <w:u w:val="single"/>
              </w:rPr>
            </w:pPr>
            <w:r>
              <w:rPr>
                <w:rFonts w:hint="eastAsia" w:ascii="宋体" w:hAnsi="宋体" w:eastAsia="宋体" w:cs="宋体"/>
                <w:i/>
                <w:iCs/>
                <w:color w:val="000000" w:themeColor="text1"/>
                <w:sz w:val="24"/>
                <w:u w:val="single"/>
              </w:rPr>
              <w:t xml:space="preserve">★本次HDS G200存储，扩展1.2TB 10K SAS 2.5英寸硬盘≥24块</w:t>
            </w:r>
            <w:r>
              <w:rPr>
                <w:color w:val="000000" w:themeColor="text1"/>
              </w:rPr>
            </w:r>
            <w:r/>
          </w:p>
        </w:tc>
      </w:tr>
      <w:tr>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r/>
          </w:p>
        </w:tc>
        <w:tc>
          <w:tcPr>
            <w:shd w:val="clear" w:color="000000" w:fill="auto"/>
            <w:tcW w:w="7709" w:type="dxa"/>
            <w:vAlign w:val="center"/>
            <w:textDirection w:val="lrTb"/>
            <w:noWrap w:val="false"/>
          </w:tcPr>
          <w:p>
            <w:pPr>
              <w:jc w:val="left"/>
              <w:rPr>
                <w:rFonts w:hint="eastAsia" w:ascii="宋体" w:hAnsi="宋体" w:eastAsia="宋体" w:cs="宋体"/>
                <w:i/>
                <w:iCs/>
                <w:color w:val="000000" w:themeColor="text1"/>
                <w:sz w:val="24"/>
                <w:u w:val="single"/>
              </w:rPr>
            </w:pPr>
            <w:r>
              <w:rPr>
                <w:rFonts w:hint="eastAsia" w:ascii="宋体" w:hAnsi="宋体" w:eastAsia="宋体" w:cs="宋体"/>
                <w:i/>
                <w:iCs/>
                <w:color w:val="000000" w:themeColor="text1"/>
                <w:sz w:val="24"/>
                <w:u w:val="single"/>
              </w:rPr>
              <w:t xml:space="preserve">★本次HDS G200存储，扩展VSP G200扩展柜（SFF,24槽位）≥1个</w:t>
            </w:r>
            <w:r>
              <w:rPr>
                <w:color w:val="000000" w:themeColor="text1"/>
              </w:rPr>
            </w:r>
            <w:r/>
          </w:p>
        </w:tc>
      </w:tr>
      <w:tr>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000000" w:fill="auto"/>
            <w:tcW w:w="7709"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本次配置存储管理容量许可≥18TB</w:t>
            </w:r>
            <w:r>
              <w:rPr>
                <w:color w:val="000000" w:themeColor="text1"/>
              </w:rPr>
            </w:r>
            <w:r/>
          </w:p>
        </w:tc>
      </w:tr>
      <w:tr>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r/>
          </w:p>
        </w:tc>
        <w:tc>
          <w:tcPr>
            <w:shd w:val="clear" w:color="000000" w:fill="auto"/>
            <w:tcW w:w="7709"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提供原厂自带的存储多路径管理软件</w:t>
            </w:r>
            <w:r>
              <w:rPr>
                <w:color w:val="000000" w:themeColor="text1"/>
              </w:rPr>
            </w:r>
            <w:r/>
          </w:p>
        </w:tc>
      </w:tr>
      <w:tr>
        <w:trPr/>
        <w:tc>
          <w:tcPr>
            <w:shd w:val="clear" w:color="000000" w:fill="auto"/>
            <w:tcW w:w="813"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color w:val="000000" w:themeColor="text1"/>
              </w:rPr>
            </w:r>
            <w:r/>
          </w:p>
        </w:tc>
        <w:tc>
          <w:tcPr>
            <w:shd w:val="clear" w:color="000000" w:fill="auto"/>
            <w:tcW w:w="7709" w:type="dxa"/>
            <w:vAlign w:val="center"/>
            <w:textDirection w:val="lrTb"/>
            <w:noWrap w:val="false"/>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原厂三年质保服务。</w:t>
            </w:r>
            <w:r>
              <w:rPr>
                <w:color w:val="000000" w:themeColor="text1"/>
              </w:rPr>
            </w:r>
            <w:r/>
          </w:p>
        </w:tc>
      </w:tr>
    </w:tbl>
    <w:p>
      <w:pPr>
        <w:ind w:firstLine="360"/>
        <w:jc w:val="left"/>
        <w:spacing w:before="100" w:beforeAutospacing="1" w:after="100" w:afterAutospacing="1"/>
        <w:rPr>
          <w:rFonts w:ascii="宋体" w:hAnsi="宋体" w:eastAsia="宋体" w:cs="宋体"/>
          <w:b/>
          <w:bCs/>
          <w:color w:val="000000" w:themeColor="text1"/>
          <w:sz w:val="36"/>
          <w:szCs w:val="36"/>
        </w:rPr>
        <w:outlineLvl w:val="1"/>
      </w:pPr>
      <w:r>
        <w:rPr>
          <w:rFonts w:ascii="宋体" w:hAnsi="宋体" w:eastAsia="宋体" w:cs="宋体"/>
          <w:b/>
          <w:bCs/>
          <w:color w:val="000000" w:themeColor="text1"/>
          <w:sz w:val="36"/>
          <w:szCs w:val="36"/>
        </w:rPr>
        <w:t xml:space="preserve">五、招标清单</w:t>
      </w:r>
      <w:r>
        <w:rPr>
          <w:color w:val="000000" w:themeColor="text1"/>
        </w:rPr>
      </w:r>
      <w:r/>
    </w:p>
    <w:tbl>
      <w:tblPr>
        <w:tblStyle w:val="758"/>
        <w:tblW w:w="8504" w:type="dxa"/>
        <w:jc w:val="center"/>
        <w:tblLayout w:type="fixed"/>
        <w:tblCellMar>
          <w:left w:w="108" w:type="dxa"/>
          <w:top w:w="0" w:type="dxa"/>
          <w:right w:w="108" w:type="dxa"/>
          <w:bottom w:w="0" w:type="dxa"/>
        </w:tblCellMar>
        <w:tblLook w:val="04A0" w:firstRow="1" w:lastRow="0" w:firstColumn="1" w:lastColumn="0" w:noHBand="0" w:noVBand="1"/>
      </w:tblPr>
      <w:tblGrid>
        <w:gridCol w:w="1265"/>
        <w:gridCol w:w="4578"/>
        <w:gridCol w:w="1287"/>
        <w:gridCol w:w="1374"/>
      </w:tblGrid>
      <w:tr>
        <w:trPr>
          <w:jc w:val="center"/>
          <w:trHeight w:val="567"/>
        </w:trPr>
        <w:tc>
          <w:tcPr>
            <w:shd w:val="clear" w:color="000000" w:fill="auto"/>
            <w:tcBorders>
              <w:top w:val="single" w:color="auto" w:sz="4" w:space="0"/>
              <w:left w:val="single" w:color="auto" w:sz="4" w:space="0"/>
              <w:bottom w:val="single" w:color="auto" w:sz="4" w:space="0"/>
              <w:right w:val="single" w:color="auto" w:sz="4" w:space="0"/>
            </w:tcBorders>
            <w:tcW w:w="1265"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4578"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产品名称</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数量</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单位</w:t>
            </w:r>
            <w:r>
              <w:rPr>
                <w:color w:val="000000" w:themeColor="text1"/>
              </w:rPr>
            </w:r>
            <w:r/>
          </w:p>
        </w:tc>
      </w:tr>
      <w:tr>
        <w:trPr>
          <w:jc w:val="center"/>
          <w:trHeight w:val="567"/>
        </w:trPr>
        <w:tc>
          <w:tcPr>
            <w:shd w:val="clear" w:color="000000" w:fill="auto"/>
            <w:tcBorders>
              <w:top w:val="none" w:color="000000" w:sz="4" w:space="0"/>
              <w:left w:val="single" w:color="auto" w:sz="4" w:space="0"/>
              <w:bottom w:val="single" w:color="auto" w:sz="4" w:space="0"/>
              <w:right w:val="single" w:color="auto" w:sz="4" w:space="0"/>
            </w:tcBorders>
            <w:tcW w:w="1265"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Borders>
              <w:top w:val="none" w:color="000000" w:sz="4" w:space="0"/>
              <w:left w:val="none" w:color="000000" w:sz="4" w:space="0"/>
              <w:bottom w:val="single" w:color="auto" w:sz="4" w:space="0"/>
              <w:right w:val="single" w:color="auto" w:sz="4" w:space="0"/>
            </w:tcBorders>
            <w:tcW w:w="4578" w:type="dxa"/>
            <w:vAlign w:val="center"/>
            <w:textDirection w:val="lrTb"/>
            <w:noWrap/>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容灾备份库实时同步软件</w:t>
            </w:r>
            <w:r>
              <w:rPr>
                <w:color w:val="000000" w:themeColor="text1"/>
              </w:rPr>
            </w:r>
            <w:r/>
          </w:p>
        </w:tc>
        <w:tc>
          <w:tcPr>
            <w:shd w:val="clear" w:color="000000" w:fill="auto"/>
            <w:tcBorders>
              <w:top w:val="none" w:color="000000" w:sz="4" w:space="0"/>
              <w:left w:val="none" w:color="000000" w:sz="4" w:space="0"/>
              <w:bottom w:val="single" w:color="auto" w:sz="4" w:space="0"/>
              <w:right w:val="single" w:color="auto" w:sz="4" w:space="0"/>
            </w:tcBorders>
            <w:tcW w:w="1287"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套</w:t>
            </w:r>
            <w:r>
              <w:rPr>
                <w:color w:val="000000" w:themeColor="text1"/>
              </w:rPr>
            </w:r>
            <w:r/>
          </w:p>
        </w:tc>
      </w:tr>
      <w:tr>
        <w:trPr>
          <w:jc w:val="center"/>
          <w:trHeight w:val="567"/>
        </w:trPr>
        <w:tc>
          <w:tcPr>
            <w:shd w:val="clear" w:color="000000" w:fill="auto"/>
            <w:tcBorders>
              <w:top w:val="single" w:color="auto" w:sz="4" w:space="0"/>
              <w:left w:val="single" w:color="auto" w:sz="4" w:space="0"/>
              <w:bottom w:val="single" w:color="auto" w:sz="4" w:space="0"/>
              <w:right w:val="single" w:color="auto" w:sz="4" w:space="0"/>
            </w:tcBorders>
            <w:tcW w:w="1265"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4578" w:type="dxa"/>
            <w:vAlign w:val="center"/>
            <w:textDirection w:val="lrTb"/>
            <w:noWrap/>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新警综平台生产库数据迁移服务</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套</w:t>
            </w:r>
            <w:r>
              <w:rPr>
                <w:color w:val="000000" w:themeColor="text1"/>
              </w:rPr>
            </w:r>
            <w:r/>
          </w:p>
        </w:tc>
      </w:tr>
      <w:tr>
        <w:trPr>
          <w:jc w:val="center"/>
          <w:trHeight w:val="567"/>
        </w:trPr>
        <w:tc>
          <w:tcPr>
            <w:shd w:val="clear" w:color="000000" w:fill="auto"/>
            <w:tcBorders>
              <w:top w:val="single" w:color="auto" w:sz="4" w:space="0"/>
              <w:left w:val="single" w:color="auto" w:sz="4" w:space="0"/>
              <w:bottom w:val="single" w:color="auto" w:sz="4" w:space="0"/>
              <w:right w:val="single" w:color="auto" w:sz="4" w:space="0"/>
            </w:tcBorders>
            <w:tcW w:w="1265"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4578" w:type="dxa"/>
            <w:vAlign w:val="center"/>
            <w:textDirection w:val="lrTb"/>
            <w:noWrap/>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分布式存储文件数据迁移服务</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套</w:t>
            </w:r>
            <w:r>
              <w:rPr>
                <w:color w:val="000000" w:themeColor="text1"/>
              </w:rPr>
            </w:r>
            <w:r/>
          </w:p>
        </w:tc>
      </w:tr>
      <w:tr>
        <w:trPr>
          <w:jc w:val="center"/>
          <w:trHeight w:val="567"/>
        </w:trPr>
        <w:tc>
          <w:tcPr>
            <w:shd w:val="clear" w:color="000000" w:fill="auto"/>
            <w:tcBorders>
              <w:top w:val="single" w:color="auto" w:sz="4" w:space="0"/>
              <w:left w:val="single" w:color="auto" w:sz="4" w:space="0"/>
              <w:bottom w:val="single" w:color="auto" w:sz="4" w:space="0"/>
              <w:right w:val="single" w:color="auto" w:sz="4" w:space="0"/>
            </w:tcBorders>
            <w:tcW w:w="1265"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4578" w:type="dxa"/>
            <w:vAlign w:val="center"/>
            <w:textDirection w:val="lrTb"/>
            <w:noWrap/>
          </w:tcPr>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存储扩展柜</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shd w:val="clear" w:color="000000" w:fill="auto"/>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台</w:t>
            </w:r>
            <w:r>
              <w:rPr>
                <w:color w:val="000000" w:themeColor="text1"/>
              </w:rPr>
            </w:r>
            <w:r/>
          </w:p>
        </w:tc>
      </w:tr>
    </w:tbl>
    <w:p>
      <w:pPr>
        <w:ind w:firstLine="360"/>
        <w:jc w:val="left"/>
        <w:spacing w:before="100" w:beforeAutospacing="1" w:after="100" w:afterAutospacing="1"/>
        <w:rPr>
          <w:rFonts w:ascii="宋体" w:hAnsi="宋体" w:eastAsia="宋体" w:cs="宋体"/>
          <w:b/>
          <w:bCs/>
          <w:color w:val="000000" w:themeColor="text1"/>
          <w:sz w:val="36"/>
          <w:szCs w:val="36"/>
        </w:rPr>
        <w:outlineLvl w:val="1"/>
      </w:pPr>
      <w:r>
        <w:rPr>
          <w:rFonts w:ascii="宋体" w:hAnsi="宋体" w:eastAsia="宋体" w:cs="宋体"/>
          <w:b/>
          <w:bCs/>
          <w:color w:val="000000" w:themeColor="text1"/>
          <w:sz w:val="36"/>
          <w:szCs w:val="36"/>
        </w:rPr>
        <w:t xml:space="preserve">六、其他要求</w:t>
      </w:r>
      <w:r>
        <w:rPr>
          <w:color w:val="000000" w:themeColor="text1"/>
        </w:rPr>
      </w:r>
      <w:r/>
    </w:p>
    <w:p>
      <w:pPr>
        <w:ind w:firstLine="472"/>
        <w:rPr>
          <w:rFonts w:ascii="宋体" w:hAnsi="宋体" w:eastAsia="宋体" w:cs="宋体"/>
          <w:b/>
          <w:bCs/>
          <w:color w:val="000000" w:themeColor="text1"/>
          <w:sz w:val="28"/>
          <w:szCs w:val="28"/>
        </w:rPr>
      </w:pPr>
      <w:r>
        <w:rPr>
          <w:rFonts w:hint="eastAsia" w:ascii="宋体" w:hAnsi="宋体" w:eastAsia="宋体" w:cs="宋体"/>
          <w:b/>
          <w:bCs/>
          <w:color w:val="000000" w:themeColor="text1"/>
          <w:spacing w:val="-2"/>
          <w:sz w:val="24"/>
        </w:rPr>
        <w:t xml:space="preserve">1、中标人须提供3年免费质保服务，质保期内采购人的货物使用出现问题时，中标人须免费提供24小时上门维修或更换服务。</w:t>
      </w:r>
      <w:r>
        <w:rPr>
          <w:color w:val="000000" w:themeColor="text1"/>
        </w:rPr>
      </w:r>
      <w:r/>
    </w:p>
    <w:p>
      <w:pPr>
        <w:ind w:firstLine="472"/>
        <w:rPr>
          <w:rFonts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2、合作安全管理要求</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网络与数据安全及保密要求（仅作为参考，实际内容以自家合同为准）</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1、在项目实施过程中，严格遵守保密安全要求，包括但不限于以下内容：</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（1）明确信息化合作事项的安全保密责任人；</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（2）对信息化合作单位人员提出与合作事项有关的安全保密要求；</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（3）及时清除离职、离岗或者不再参与公安信息化建设的人员持有的公安文档资料、数据等内容；</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（4）对参与公安信息化建设安全保密责任落实情况进行年度评估，并制作评估报告；</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（5）在得知提供的产品、服务存在安全漏洞或者危害信息系统安全的潜在风险时，应及时启动应急预案，积极妥善解决；</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（6）信息化合作单位人员严禁未经批准翻阅、复印、拍摄公安内部文件，或者将公安内部文件带离指定办公场所或者区域；</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（7）其他应当遵守的安全保密要求。</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2、在项目实施过程中，严格遵守数据安全要求，包括但不限于以下内容：</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（1）信息化合作单位人员不得违规下载、留存、使用公安内部数据；</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（2）信息化合作单位人员不得算改、毁损、泄露、出售公安内部数据；</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（3）信息化合作单位人员不得向境外机构和人员提供公安重要数据；</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（4）信息化合作单位人员不得在互联网上存储、处理、传输公安内部数据和应用系统源代码；</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（5）信息化合作单位人员不得使用未经过脱敏的公安敏感数据在互联网上进行开发；</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（6）信息化合作单位人员不得将公安数据用于商业用途；</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（7）信息化合作单位人员不得不得进行其他危害数据安全的行为。</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3、在项目实施过程中，严格遵守网络应用安全要求，包括但不限于以下内容：</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（1）信息化合作单位人员不得违规将公安网络与任何外部网络连接；</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（2）信息化合作单位人员不得擅自扫描、探测、入侵公安网络及应用系统；</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（3）信息化合作单位人员不得设置应用系统后门、木马、病毒等恶意程序；</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（4）信息化合作单位人员不得擅自将参与单位及参与人员的终端、移动存储介质、无线设备等与公安网络连接；</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（5）信息化合作单位人员不得擅自建立跨网、跨域数据传输或者运维通道；</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（6）信息化合作单位人员不得拆除、破坏公安监管设施或者卸载监管程序；</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（7）信息化合作单位人员不得擅自对公安应用源文件、应用源代码进行反编译、加密、解密；</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（8）信息化合作单位人员不得擅自公开与合作事项相关的技术实现方法或者业务模型等重要信息；</w:t>
      </w:r>
      <w:r>
        <w:rPr>
          <w:color w:val="000000" w:themeColor="text1"/>
        </w:rPr>
      </w:r>
      <w:r/>
    </w:p>
    <w:p>
      <w:pPr>
        <w:ind w:firstLine="472"/>
        <w:rPr>
          <w:rFonts w:ascii="宋体" w:hAnsi="宋体" w:eastAsia="宋体" w:cs="宋体"/>
          <w:color w:val="000000" w:themeColor="text1"/>
          <w:spacing w:val="-2"/>
          <w:sz w:val="24"/>
        </w:rPr>
      </w:pPr>
      <w:r>
        <w:rPr>
          <w:rFonts w:hint="eastAsia" w:ascii="宋体" w:hAnsi="宋体" w:eastAsia="宋体" w:cs="宋体"/>
          <w:color w:val="000000" w:themeColor="text1"/>
          <w:spacing w:val="-2"/>
          <w:sz w:val="24"/>
        </w:rPr>
        <w:t xml:space="preserve">（9）信息化合作单位人员不得进行其他危害公安网络和应用安全的行为。</w:t>
      </w:r>
      <w:r>
        <w:rPr>
          <w:color w:val="000000" w:themeColor="text1"/>
        </w:rPr>
      </w:r>
      <w:r/>
    </w:p>
    <w:p>
      <w:pPr>
        <w:ind w:firstLine="472"/>
        <w:rPr>
          <w:rFonts w:ascii="宋体" w:hAnsi="宋体" w:eastAsia="宋体" w:cs="宋体"/>
          <w:color w:val="000000" w:themeColor="text1"/>
          <w:sz w:val="24"/>
        </w:rPr>
      </w:pPr>
      <w:r>
        <w:rPr>
          <w:rFonts w:hint="eastAsia" w:ascii="宋体" w:hAnsi="宋体" w:eastAsia="宋体" w:cs="宋体"/>
          <w:color w:val="000000" w:themeColor="text1"/>
          <w:spacing w:val="-2"/>
          <w:sz w:val="24"/>
        </w:rPr>
        <w:t xml:space="preserve">对于信息化合作企业驻场人员，要按照《盐城市公安局科技信息化协作企业驻场技术人员管理规定》(盐公传发〔2021〕185号)执行。</w:t>
      </w:r>
      <w:r>
        <w:rPr>
          <w:color w:val="000000" w:themeColor="text1"/>
        </w:rPr>
      </w:r>
      <w:r/>
    </w:p>
    <w:p>
      <w:pPr>
        <w:ind w:left="420"/>
        <w:jc w:val="left"/>
        <w:spacing w:before="100" w:beforeAutospacing="1" w:after="100" w:afterAutospacing="1"/>
        <w:rPr>
          <w:rFonts w:ascii="宋体" w:hAnsi="宋体" w:eastAsia="宋体" w:cs="宋体"/>
          <w:b/>
          <w:bCs/>
          <w:color w:val="000000" w:themeColor="text1"/>
          <w:sz w:val="36"/>
          <w:szCs w:val="36"/>
        </w:rPr>
        <w:outlineLvl w:val="1"/>
      </w:pPr>
      <w:r>
        <w:rPr>
          <w:rFonts w:ascii="宋体" w:hAnsi="宋体" w:eastAsia="宋体" w:cs="宋体"/>
          <w:b/>
          <w:bCs/>
          <w:color w:val="000000" w:themeColor="text1"/>
          <w:sz w:val="36"/>
          <w:szCs w:val="36"/>
        </w:rPr>
        <w:t xml:space="preserve">七、项目投标说明</w:t>
      </w:r>
      <w:r>
        <w:rPr>
          <w:color w:val="000000" w:themeColor="text1"/>
        </w:rPr>
      </w:r>
      <w:r/>
    </w:p>
    <w:p>
      <w:pPr>
        <w:ind w:left="420"/>
        <w:keepLines/>
        <w:keepNext/>
        <w:spacing w:before="320" w:after="200"/>
        <w:tabs>
          <w:tab w:val="left" w:pos="0" w:leader="none"/>
          <w:tab w:val="left" w:pos="420" w:leader="none"/>
        </w:tabs>
        <w:rPr>
          <w:rFonts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（一）技术参数</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招标文件紧扣“分类依据明确、评审规则量化、权责边界清晰”原则，结合项目实际需求设置参数，具体可按以下结构表述：</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1、参数分类及设置原则 </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本项目设备参数根据“与项目核心目标的关联度、对设备性能的影响程度”分为核心参数、重要参数、一般参数，所有参数均基于项目实际使用需求设定，无歧视性、排他性条款。</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2、各类参数具体要求 </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（1）核心参数定义（采购需求清单中标“★”的参数）：直接决定设备是否满足项目关键功能需求，负偏离将导致设备无法实现项目核心目标。</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偏离要求：不允许负偏离。</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佐证材料：按招标文件按“采购需求清单”中要求提供相关证明材料。</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评审规则：经评审委员会核查，无有效佐证材料或存在负偏离的，该投标文件按废标处理。 </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（2）重要参数定义（采购需求清单中标“▲”的参数）：影响设备主要性能指标，负偏离将降低设备整体使用效果，但不影响核心功能实现。</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偏离要求：不允许负偏离。</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佐证材料：按招标文件按“采购需求清单”中要求提供相关证明材料。</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评审规则：经核查，每缺少1项有效佐证材料或存在1项负偏离，在综合评分中扣</w:t>
      </w:r>
      <w:r>
        <w:rPr>
          <w:rFonts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分，扣完为止。</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（3）一般参数定义（采购需求清单中未做标记的参数）：保障设备基础兼容性、操作便利性，负偏离将影响设备适配性，但不降低核心性能。</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偏离要求：不允许负偏离。</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佐证材料：投标文件中作出书面响应承诺即可。</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rPr>
        <w:t xml:space="preserve">评审</w:t>
      </w:r>
      <w:r>
        <w:rPr>
          <w:rFonts w:hint="eastAsia" w:ascii="宋体" w:hAnsi="宋体" w:eastAsia="宋体" w:cs="宋体"/>
          <w:color w:val="000000" w:themeColor="text1"/>
          <w:sz w:val="24"/>
          <w:highlight w:val="none"/>
        </w:rPr>
        <w:t xml:space="preserve">规则：若该项设备或功能中的一般参数存在一个负偏离或者一个负偏离以上，则该单项扣</w:t>
      </w:r>
      <w:r>
        <w:rPr>
          <w:rFonts w:ascii="宋体" w:hAnsi="宋体" w:eastAsia="宋体" w:cs="宋体"/>
          <w:color w:val="000000" w:themeColor="text1"/>
          <w:sz w:val="24"/>
          <w:highlight w:val="none"/>
        </w:rPr>
        <w:t xml:space="preserve">0.3</w:t>
      </w:r>
      <w:r>
        <w:rPr>
          <w:rFonts w:hint="eastAsia" w:ascii="宋体" w:hAnsi="宋体" w:eastAsia="宋体" w:cs="宋体"/>
          <w:color w:val="000000" w:themeColor="text1"/>
          <w:sz w:val="24"/>
          <w:highlight w:val="none"/>
        </w:rPr>
        <w:t xml:space="preserve">分，扣完为止。</w:t>
      </w:r>
      <w:r>
        <w:rPr>
          <w:color w:val="000000" w:themeColor="text1"/>
        </w:rPr>
      </w:r>
      <w:r/>
    </w:p>
    <w:p>
      <w:pPr>
        <w:ind w:firstLine="562"/>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（二）商务部分</w:t>
      </w:r>
      <w:r>
        <w:rPr>
          <w:color w:val="000000" w:themeColor="text1"/>
        </w:rPr>
      </w:r>
      <w:r/>
    </w:p>
    <w:p>
      <w:pPr>
        <w:ind w:firstLine="480"/>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2022年</w:t>
      </w: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月1日以来，投标供应商或所投产品厂家具有类似案例合同</w:t>
      </w:r>
      <w:r>
        <w:rPr>
          <w:rFonts w:hint="eastAsia" w:ascii="宋体" w:hAnsi="宋体" w:eastAsia="宋体" w:cs="宋体"/>
          <w:color w:val="000000" w:themeColor="text1"/>
          <w:sz w:val="24"/>
          <w:highlight w:val="none"/>
        </w:rPr>
        <w:t xml:space="preserve">的优先。</w:t>
      </w:r>
      <w:r>
        <w:rPr>
          <w:color w:val="000000" w:themeColor="text1"/>
        </w:rPr>
      </w:r>
      <w:r/>
    </w:p>
    <w:p>
      <w:pPr>
        <w:ind w:firstLine="562"/>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（三）企业实力</w:t>
      </w:r>
      <w:r>
        <w:rPr>
          <w:color w:val="000000" w:themeColor="text1"/>
        </w:rPr>
      </w:r>
      <w:r/>
    </w:p>
    <w:p>
      <w:pPr>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投标人拟投入本项目的团队人员中具有系统架构设计师、系统分析师</w:t>
      </w:r>
      <w:r>
        <w:rPr>
          <w:rFonts w:ascii="宋体" w:hAnsi="宋体" w:eastAsia="宋体" w:cs="宋体"/>
          <w:color w:val="000000" w:themeColor="text1"/>
          <w:sz w:val="24"/>
          <w:highlight w:val="none"/>
        </w:rPr>
        <w:t xml:space="preserve">、</w:t>
      </w:r>
      <w:r>
        <w:rPr>
          <w:rFonts w:hint="eastAsia" w:ascii="宋体" w:hAnsi="宋体" w:eastAsia="宋体" w:cs="Courier New"/>
          <w:bCs/>
          <w:color w:val="000000" w:themeColor="text1"/>
          <w:sz w:val="24"/>
          <w:szCs w:val="24"/>
          <w:highlight w:val="none"/>
        </w:rPr>
        <w:t xml:space="preserve">全国计算机等级考试一级及以上合格证书</w:t>
      </w:r>
      <w:r>
        <w:rPr>
          <w:rFonts w:hint="eastAsia" w:ascii="宋体" w:hAnsi="宋体" w:eastAsia="宋体" w:cs="宋体"/>
          <w:color w:val="000000" w:themeColor="text1"/>
          <w:sz w:val="24"/>
          <w:highlight w:val="none"/>
        </w:rPr>
        <w:t xml:space="preserve">的优先。</w:t>
      </w:r>
      <w:r>
        <w:rPr>
          <w:color w:val="000000" w:themeColor="text1"/>
        </w:rPr>
      </w:r>
      <w:r/>
    </w:p>
    <w:p>
      <w:pPr>
        <w:ind w:firstLine="562"/>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（四）企业资质</w:t>
      </w:r>
      <w:r>
        <w:rPr>
          <w:color w:val="000000" w:themeColor="text1"/>
        </w:rPr>
      </w:r>
      <w:r/>
    </w:p>
    <w:p>
      <w:pPr>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投标人具有质量管理体系认证证书、</w:t>
      </w:r>
      <w:r>
        <w:rPr>
          <w:rFonts w:hint="eastAsia" w:ascii="宋体" w:hAnsi="宋体" w:eastAsia="宋体" w:cs="宋体"/>
          <w:bCs/>
          <w:color w:val="000000" w:themeColor="text1"/>
          <w:sz w:val="24"/>
          <w:highlight w:val="none"/>
        </w:rPr>
        <w:t xml:space="preserve">信息安全管理体系认证证书、信息技术服务管理体系认证证书、职业健康安全管理体系认证证书</w:t>
      </w:r>
      <w:r>
        <w:rPr>
          <w:rFonts w:hint="eastAsia" w:ascii="宋体" w:hAnsi="宋体" w:eastAsia="宋体" w:cs="宋体"/>
          <w:color w:val="000000" w:themeColor="text1"/>
          <w:sz w:val="24"/>
          <w:highlight w:val="none"/>
        </w:rPr>
        <w:t xml:space="preserve">的优先。</w:t>
      </w:r>
      <w:r>
        <w:rPr>
          <w:color w:val="000000" w:themeColor="text1"/>
        </w:rPr>
      </w:r>
      <w:r/>
    </w:p>
    <w:p>
      <w:pPr>
        <w:ind w:firstLine="48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（五）技术部分</w:t>
      </w:r>
      <w:r>
        <w:rPr>
          <w:color w:val="000000" w:themeColor="text1"/>
        </w:rPr>
      </w:r>
      <w:r/>
    </w:p>
    <w:p>
      <w:pPr>
        <w:ind w:firstLine="482"/>
        <w:jc w:val="left"/>
        <w:spacing w:line="560" w:lineRule="exact"/>
        <w:widowControl/>
        <w:rPr>
          <w:rFonts w:ascii="宋体" w:hAnsi="宋体" w:eastAsia="宋体" w:cs="宋体"/>
          <w:color w:val="000000" w:themeColor="text1"/>
          <w:sz w:val="24"/>
        </w:rPr>
      </w:pPr>
      <w:r>
        <w:rPr>
          <w:rFonts w:hint="eastAsia" w:ascii="宋体" w:hAnsi="宋体" w:eastAsia="宋体" w:cs="宋体"/>
          <w:color w:val="000000" w:themeColor="text1"/>
          <w:sz w:val="24"/>
          <w:szCs w:val="20"/>
        </w:rPr>
        <w:t xml:space="preserve">投标人</w:t>
      </w:r>
      <w:r>
        <w:rPr>
          <w:rFonts w:hint="eastAsia" w:ascii="宋体" w:hAnsi="宋体" w:eastAsia="宋体" w:cs="宋体"/>
          <w:color w:val="000000" w:themeColor="text1"/>
          <w:sz w:val="24"/>
          <w:szCs w:val="20"/>
          <w:lang w:val="en-US" w:eastAsia="zh-CN"/>
        </w:rPr>
        <w:t xml:space="preserve">应</w:t>
      </w:r>
      <w:r>
        <w:rPr>
          <w:rFonts w:hint="eastAsia" w:ascii="宋体" w:hAnsi="宋体" w:cs="Courier New"/>
          <w:bCs/>
          <w:color w:val="000000" w:themeColor="text1"/>
          <w:sz w:val="24"/>
        </w:rPr>
        <w:t xml:space="preserve">根据项目的整体要求</w:t>
      </w:r>
      <w:r>
        <w:rPr>
          <w:rFonts w:hint="eastAsia" w:ascii="宋体" w:hAnsi="宋体" w:eastAsia="宋体" w:cs="宋体"/>
          <w:color w:val="000000" w:themeColor="text1"/>
          <w:sz w:val="24"/>
          <w:szCs w:val="20"/>
        </w:rPr>
        <w:t xml:space="preserve">，制订相应的方案：</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1、总体技术方案</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建设背景、必要性等建设依据分析：</w:t>
      </w:r>
      <w:r>
        <w:rPr>
          <w:rFonts w:hint="eastAsia" w:ascii="宋体" w:hAnsi="宋体" w:eastAsia="宋体" w:cs="宋体"/>
          <w:color w:val="000000" w:themeColor="text1"/>
          <w:sz w:val="24"/>
        </w:rPr>
        <w:t xml:space="preserve">需明确提出项目建设遵循的总体原则，如技术标准的规范性、采用技术的安全性、系统的可扩展性、平台的易操作性等。</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项目建设现状及需求分析：</w:t>
      </w:r>
      <w:r>
        <w:rPr>
          <w:rFonts w:hint="eastAsia" w:ascii="宋体" w:hAnsi="宋体" w:eastAsia="宋体" w:cs="宋体"/>
          <w:color w:val="000000" w:themeColor="text1"/>
          <w:sz w:val="24"/>
        </w:rPr>
        <w:t xml:space="preserve">明确现有数据资源概况、现有体系存在的核心问题、当前备份体系建设情况和数据安全防护性需求、核心功能性需求及可靠的容灾恢复需求。</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容灾备份的总体架构设计：</w:t>
      </w:r>
      <w:r>
        <w:rPr>
          <w:rFonts w:hint="eastAsia" w:ascii="宋体" w:hAnsi="宋体" w:eastAsia="宋体" w:cs="宋体"/>
          <w:color w:val="000000" w:themeColor="text1"/>
          <w:sz w:val="24"/>
        </w:rPr>
        <w:t xml:space="preserve">针对本项目清晰阐述容灾备份的总体架构设计，需明确容灾备份采用的技术路线设计，要采用先进成熟的技术设计，满足项目建设内容各种应用的需求，兼顾其他平台等相关的管理需求。</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基于新警</w:t>
      </w:r>
      <w:r>
        <w:rPr>
          <w:rFonts w:hint="eastAsia" w:ascii="宋体" w:hAnsi="宋体" w:eastAsia="宋体" w:cs="宋体"/>
          <w:color w:val="000000" w:themeColor="text1"/>
          <w:sz w:val="24"/>
          <w:highlight w:val="none"/>
        </w:rPr>
        <w:t xml:space="preserve">综平台容灾网络拓扑设计：</w:t>
      </w:r>
      <w:r>
        <w:rPr>
          <w:rFonts w:hint="eastAsia" w:ascii="宋体" w:hAnsi="宋体" w:eastAsia="宋体" w:cs="宋体"/>
          <w:color w:val="000000" w:themeColor="text1"/>
          <w:sz w:val="24"/>
          <w:highlight w:val="none"/>
        </w:rPr>
        <w:t xml:space="preserve">结合项目建设硬件设备以及平台系统具体功能应用，设计针对本项目的容灾网络结构，确保容灾网络设计合理规范、安全高效。</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t xml:space="preserve">数据迁移整体思路设计：</w:t>
      </w:r>
      <w:r>
        <w:rPr>
          <w:rFonts w:hint="eastAsia" w:ascii="宋体" w:hAnsi="宋体" w:eastAsia="宋体" w:cs="宋体"/>
          <w:color w:val="000000" w:themeColor="text1"/>
          <w:sz w:val="24"/>
          <w:highlight w:val="none"/>
          <w:lang w:val="en-US" w:eastAsia="zh-CN"/>
        </w:rPr>
        <w:t xml:space="preserve">详细阐述本项目数据迁移整体思路设计，明确迁移步骤，确保项目实施过程中按计划执行</w:t>
      </w:r>
      <w:r>
        <w:rPr>
          <w:rFonts w:hint="eastAsia" w:ascii="宋体" w:hAnsi="宋体" w:eastAsia="宋体" w:cs="宋体"/>
          <w:color w:val="000000" w:themeColor="text1"/>
          <w:sz w:val="24"/>
          <w:highlight w:val="none"/>
        </w:rPr>
        <w:t xml:space="preserve">。</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2、实施方案</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人员配置不少于5人且分工明确：</w:t>
      </w:r>
      <w:r>
        <w:rPr>
          <w:rFonts w:hint="eastAsia" w:ascii="宋体" w:hAnsi="宋体" w:eastAsia="宋体" w:cs="宋体"/>
          <w:color w:val="000000" w:themeColor="text1"/>
          <w:sz w:val="24"/>
          <w:highlight w:val="none"/>
        </w:rPr>
        <w:t xml:space="preserve">组建包括项目经理、技术开发团队在内的项目小组，清晰界定各成员职责范围与协作方式，保障沟通顺畅高效</w:t>
      </w:r>
      <w:r>
        <w:rPr>
          <w:rFonts w:hint="eastAsia" w:ascii="宋体" w:hAnsi="宋体" w:eastAsia="宋体" w:cs="宋体"/>
          <w:color w:val="000000" w:themeColor="text1"/>
          <w:sz w:val="24"/>
        </w:rPr>
        <w:t xml:space="preserve">。</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驻公安网人员须具备数据库相关证书：</w:t>
      </w:r>
      <w:r>
        <w:rPr>
          <w:rFonts w:hint="eastAsia" w:ascii="宋体" w:hAnsi="宋体" w:eastAsia="宋体" w:cs="宋体"/>
          <w:color w:val="000000" w:themeColor="text1"/>
          <w:sz w:val="24"/>
          <w:highlight w:val="none"/>
        </w:rPr>
        <w:t xml:space="preserve">人员驻场前，需提交证书原件及认证查询截图，由公安网安全管理部门核验真实性。</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实施过程中安全保障措施：</w:t>
      </w:r>
      <w:r>
        <w:rPr>
          <w:rFonts w:hint="eastAsia" w:ascii="宋体" w:hAnsi="宋体" w:eastAsia="宋体" w:cs="宋体"/>
          <w:color w:val="000000" w:themeColor="text1"/>
          <w:sz w:val="24"/>
          <w:highlight w:val="none"/>
        </w:rPr>
        <w:t xml:space="preserve">数据加密措施、访问控制措施、网络安全防护措施、存储设备安全措施。</w:t>
      </w:r>
      <w:r>
        <w:rPr>
          <w:color w:val="000000" w:themeColor="text1"/>
        </w:rPr>
      </w:r>
      <w:r/>
    </w:p>
    <w:p>
      <w:pPr>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t xml:space="preserve">提供具体项目工期规划：</w:t>
      </w:r>
      <w:r>
        <w:rPr>
          <w:rFonts w:hint="eastAsia" w:ascii="宋体" w:hAnsi="宋体" w:eastAsia="宋体" w:cs="宋体"/>
          <w:color w:val="000000" w:themeColor="text1"/>
          <w:sz w:val="24"/>
          <w:highlight w:val="none"/>
          <w:lang w:val="en-US" w:eastAsia="zh-CN"/>
        </w:rPr>
        <w:t xml:space="preserve">根据项目计划工期，提供</w:t>
      </w:r>
      <w:r>
        <w:rPr>
          <w:rFonts w:hint="eastAsia" w:ascii="宋体" w:hAnsi="宋体" w:eastAsia="宋体" w:cs="宋体"/>
          <w:color w:val="000000" w:themeColor="text1"/>
          <w:sz w:val="24"/>
          <w:highlight w:val="none"/>
        </w:rPr>
        <w:t xml:space="preserve">项目阶段划分。</w:t>
      </w:r>
      <w:r>
        <w:rPr>
          <w:color w:val="000000" w:themeColor="text1"/>
        </w:rPr>
      </w:r>
      <w:r/>
    </w:p>
    <w:p>
      <w:pPr>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提供质量保障及保密措施等方面内容</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提供项目</w:t>
      </w:r>
      <w:r>
        <w:rPr>
          <w:rFonts w:hint="eastAsia" w:ascii="宋体" w:hAnsi="宋体" w:eastAsia="宋体" w:cs="宋体"/>
          <w:color w:val="000000" w:themeColor="text1"/>
          <w:sz w:val="24"/>
          <w:highlight w:val="none"/>
        </w:rPr>
        <w:t xml:space="preserve">资源分配计划、数据质量保障、人员保密管理、数据加密技术等措施</w:t>
      </w:r>
      <w:r>
        <w:rPr>
          <w:rFonts w:hint="eastAsia" w:ascii="宋体" w:hAnsi="宋体" w:eastAsia="宋体" w:cs="宋体"/>
          <w:color w:val="000000" w:themeColor="text1"/>
          <w:sz w:val="24"/>
          <w:highlight w:val="none"/>
          <w:lang w:eastAsia="zh-CN"/>
        </w:rPr>
        <w:t xml:space="preserve">。</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3、培训方案</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培训质量：</w:t>
      </w:r>
      <w:r>
        <w:rPr>
          <w:rFonts w:hint="eastAsia" w:ascii="宋体" w:hAnsi="宋体" w:eastAsia="宋体" w:cs="宋体"/>
          <w:color w:val="000000" w:themeColor="text1"/>
          <w:sz w:val="24"/>
          <w:highlight w:val="none"/>
        </w:rPr>
        <w:t xml:space="preserve">理论知识夯实、技术操作精研、理论实践结合等方式。</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培训目标：</w:t>
      </w:r>
      <w:r>
        <w:rPr>
          <w:rFonts w:hint="eastAsia" w:ascii="宋体" w:hAnsi="宋体" w:eastAsia="宋体" w:cs="宋体"/>
          <w:color w:val="000000" w:themeColor="text1"/>
          <w:sz w:val="24"/>
          <w:highlight w:val="none"/>
        </w:rPr>
        <w:t xml:space="preserve">提升公安人员数据</w:t>
      </w:r>
      <w:r>
        <w:rPr>
          <w:rFonts w:hint="eastAsia" w:ascii="宋体" w:hAnsi="宋体" w:eastAsia="宋体" w:cs="宋体"/>
          <w:color w:val="000000" w:themeColor="text1"/>
          <w:sz w:val="24"/>
          <w:highlight w:val="none"/>
          <w:lang w:val="en-US" w:eastAsia="zh-CN"/>
        </w:rPr>
        <w:t xml:space="preserve">库</w:t>
      </w:r>
      <w:r>
        <w:rPr>
          <w:rFonts w:hint="eastAsia" w:ascii="宋体" w:hAnsi="宋体" w:eastAsia="宋体" w:cs="宋体"/>
          <w:color w:val="000000" w:themeColor="text1"/>
          <w:sz w:val="24"/>
          <w:highlight w:val="none"/>
        </w:rPr>
        <w:t xml:space="preserve">备份相关技能，保障</w:t>
      </w:r>
      <w:r>
        <w:rPr>
          <w:rFonts w:hint="eastAsia" w:ascii="宋体" w:hAnsi="宋体" w:eastAsia="宋体" w:cs="宋体"/>
          <w:color w:val="000000" w:themeColor="text1"/>
          <w:sz w:val="24"/>
        </w:rPr>
        <w:t xml:space="preserve">公安数据安全与业务连续性等内容。</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培训对象：</w:t>
      </w:r>
      <w:r>
        <w:rPr>
          <w:rFonts w:hint="eastAsia" w:ascii="宋体" w:hAnsi="宋体" w:eastAsia="宋体" w:cs="宋体"/>
          <w:color w:val="000000" w:themeColor="text1"/>
          <w:sz w:val="24"/>
        </w:rPr>
        <w:t xml:space="preserve">公安一线执法人员、技术支持人员、数据分析与情报人员等。</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培训方法：</w:t>
      </w:r>
      <w:r>
        <w:rPr>
          <w:rFonts w:hint="eastAsia" w:ascii="宋体" w:hAnsi="宋体" w:eastAsia="宋体" w:cs="宋体"/>
          <w:color w:val="000000" w:themeColor="text1"/>
          <w:sz w:val="24"/>
        </w:rPr>
        <w:t xml:space="preserve">理论知识培训、实践操作培训等方式。</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时间安排：</w:t>
      </w:r>
      <w:r>
        <w:rPr>
          <w:rFonts w:hint="eastAsia" w:ascii="宋体" w:hAnsi="宋体" w:eastAsia="宋体" w:cs="宋体"/>
          <w:color w:val="000000" w:themeColor="text1"/>
          <w:sz w:val="24"/>
        </w:rPr>
        <w:t xml:space="preserve">基础理论知识培训（如1-2天）技术原理与工具介绍（如3-4天）实战操作演练（如5-6天）等内容</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4、售后服务方案</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日常服务内容</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高效响应保障：确保用户反馈的问题能在最短时间内得到响应，设定明确的响应时间标准，最大限度减少设备、数据系统故障的影响。</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持续优化体验：以提升用户满意度为核心，定期收集意见与分析使用数据，不断改进平台功能与服务质量，使平台能更好地适应警务实战使用需求。</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服务期限及服务方式</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技术支持全面覆盖：提供7×24小时在线技术咨询渠道，及时解答关于平台安装部署、操作使用、故障排查等方面的疑问；针对复杂技术难题，安排工程师远程协助或上门解决。</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数据备份库维护定期巡检：制定详细的巡检计划，定期检查运行状态、数据备份完整性、网络稳定性等关键指标，提前发现并处理潜在风险，保障系统安全稳定运行。</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故障应急响应机制及响应时间</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服务承诺：对各项服务的可用性、响应时间、解决时限等关键指标做出量化承诺。</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应急处理预案完备：针对可能出现的重大故障、安全事故等情况，制定完善的应急处置预案，明确应急响应流程、责任分工及恢复措施，定期组织演练，确保在突发状况下能迅速恢复服务。</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日常容灾数据管理与优化</w:t>
      </w:r>
      <w:r>
        <w:rPr>
          <w:color w:val="000000" w:themeColor="text1"/>
        </w:rPr>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采用的数据去重技术原理和实施步骤，减少数据冗余、根据数据访问频率和重要性，合理分配存储资源，提高存储利用率等内容。</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highlight w:val="none"/>
        </w:rPr>
        <w:t xml:space="preserve">安全与合规服务</w:t>
      </w:r>
      <w:r>
        <w:rPr>
          <w:color w:val="000000" w:themeColor="text1"/>
        </w:rPr>
      </w:r>
      <w:r/>
    </w:p>
    <w:p>
      <w:pPr>
        <w:ind w:firstLine="480"/>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打造一支由资深技术专家、就业行业顾问及客服专员组成的多元化售后服务团队，成员具备丰富的项目实施经验与专业知识背景，能够精准定位并解决问题。</w:t>
      </w:r>
      <w:r>
        <w:rPr>
          <w:color w:val="000000" w:themeColor="text1"/>
        </w:rPr>
      </w:r>
      <w:r/>
    </w:p>
    <w:p>
      <w:pPr>
        <w:numPr>
          <w:ilvl w:val="0"/>
          <w:numId w:val="0"/>
        </w:numPr>
        <w:ind w:firstLine="480"/>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5、驻场运维服务</w:t>
      </w:r>
      <w:r>
        <w:rPr>
          <w:color w:val="000000" w:themeColor="text1"/>
        </w:rPr>
      </w:r>
      <w:r/>
    </w:p>
    <w:p>
      <w:pPr>
        <w:numPr>
          <w:ilvl w:val="0"/>
          <w:numId w:val="0"/>
        </w:numPr>
        <w:ind w:firstLine="48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提供在江苏省内公安网1年驻场运维服务</w:t>
      </w:r>
      <w:r>
        <w:rPr>
          <w:rFonts w:hint="eastAsia" w:ascii="宋体" w:hAnsi="宋体" w:eastAsia="宋体" w:cs="宋体"/>
          <w:color w:val="000000" w:themeColor="text1"/>
          <w:sz w:val="24"/>
          <w:highlight w:val="none"/>
          <w:lang w:val="en-US" w:eastAsia="zh-CN"/>
        </w:rPr>
        <w:t xml:space="preserve">的优先。</w:t>
      </w:r>
      <w:r>
        <w:rPr>
          <w:color w:val="000000" w:themeColor="text1"/>
        </w:rPr>
      </w:r>
      <w:r/>
    </w:p>
    <w:p>
      <w:pPr>
        <w:ind w:firstLine="482"/>
        <w:rPr>
          <w:rFonts w:ascii="宋体" w:hAnsi="宋体" w:eastAsia="宋体" w:cs="宋体"/>
          <w:b/>
          <w:bCs/>
          <w:color w:val="000000" w:themeColor="text1"/>
          <w:sz w:val="24"/>
        </w:rPr>
      </w:pPr>
      <w:r>
        <w:rPr>
          <w:rFonts w:hint="eastAsia" w:ascii="宋体" w:hAnsi="宋体" w:eastAsia="宋体" w:cs="宋体"/>
          <w:b/>
          <w:bCs/>
          <w:color w:val="000000" w:themeColor="text1"/>
          <w:sz w:val="24"/>
          <w:highlight w:val="none"/>
        </w:rPr>
        <w:t xml:space="preserve">注意：文件中斜体下划线内容为实质性响应条款，投标人必须按照招标文件要求作出响应，否则视为投标文件对招标文件的实质性内容</w:t>
      </w:r>
      <w:r>
        <w:rPr>
          <w:rFonts w:hint="eastAsia" w:ascii="宋体" w:hAnsi="宋体" w:eastAsia="宋体" w:cs="宋体"/>
          <w:b/>
          <w:bCs/>
          <w:color w:val="000000" w:themeColor="text1"/>
          <w:sz w:val="24"/>
        </w:rPr>
        <w:t xml:space="preserve">不响应，作废标处理。</w:t>
      </w:r>
      <w:r>
        <w:rPr>
          <w:color w:val="000000" w:themeColor="text1"/>
        </w:rPr>
      </w:r>
      <w:r/>
    </w:p>
    <w:p>
      <w:pPr>
        <w:ind w:firstLine="562"/>
        <w:rPr>
          <w:rFonts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（六）采购标的对应的中小企业划分标准所属行业一览表</w:t>
      </w:r>
      <w:r>
        <w:rPr>
          <w:color w:val="000000" w:themeColor="text1"/>
        </w:rPr>
      </w:r>
      <w:r/>
    </w:p>
    <w:tbl>
      <w:tblPr>
        <w:tblStyle w:val="758"/>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eastAsia="宋体" w:cs="宋体"/>
                <w:color w:val="000000" w:themeColor="text1"/>
                <w:sz w:val="24"/>
              </w:rPr>
            </w:pPr>
            <w:r>
              <w:rPr>
                <w:rFonts w:hint="eastAsia" w:ascii="宋体" w:hAnsi="宋体" w:eastAsia="宋体" w:cs="宋体"/>
                <w:color w:val="000000" w:themeColor="text1"/>
                <w:sz w:val="24"/>
              </w:rPr>
              <w:t xml:space="preserve">采购标的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eastAsia="宋体" w:cs="宋体"/>
                <w:color w:val="000000" w:themeColor="text1"/>
                <w:sz w:val="24"/>
              </w:rPr>
            </w:pPr>
            <w:r>
              <w:rPr>
                <w:rFonts w:hint="eastAsia" w:ascii="宋体" w:hAnsi="宋体" w:eastAsia="宋体" w:cs="宋体"/>
                <w:color w:val="000000" w:themeColor="text1"/>
                <w:sz w:val="24"/>
              </w:rPr>
              <w:t xml:space="preserve">对应中小企业划分标准所属行业</w:t>
            </w:r>
            <w:r>
              <w:rPr>
                <w:color w:val="000000" w:themeColor="text1"/>
              </w:rPr>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szCs w:val="20"/>
              </w:rPr>
              <w:t xml:space="preserve">盐城市公安局大数据支队新警综平台备份库建设项目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eastAsia="宋体" w:cs="宋体"/>
                <w:color w:val="000000" w:themeColor="text1"/>
                <w:sz w:val="24"/>
              </w:rPr>
            </w:pPr>
            <w:r>
              <w:rPr>
                <w:rFonts w:hint="eastAsia" w:ascii="宋体" w:hAnsi="宋体" w:eastAsia="宋体" w:cs="宋体"/>
                <w:color w:val="000000" w:themeColor="text1"/>
                <w:sz w:val="24"/>
              </w:rPr>
              <w:t xml:space="preserve">软件和信息技术服务业</w:t>
            </w:r>
            <w:r>
              <w:rPr>
                <w:color w:val="000000" w:themeColor="text1"/>
              </w:rPr>
            </w:r>
            <w:r/>
          </w:p>
        </w:tc>
      </w:tr>
    </w:tbl>
    <w:p>
      <w:pPr>
        <w:rPr>
          <w:rFonts w:ascii="黑体" w:hAnsi="黑体" w:eastAsia="黑体" w:cs="黑体"/>
          <w:color w:val="000000" w:themeColor="text1"/>
          <w:sz w:val="44"/>
          <w:szCs w:val="20"/>
        </w:rPr>
      </w:pPr>
      <w:r>
        <w:rPr>
          <w:rFonts w:ascii="黑体" w:hAnsi="黑体" w:eastAsia="黑体" w:cs="黑体"/>
          <w:color w:val="000000" w:themeColor="text1"/>
          <w:sz w:val="44"/>
          <w:szCs w:val="20"/>
        </w:rPr>
      </w:r>
      <w:r>
        <w:rPr>
          <w:color w:val="000000" w:themeColor="text1"/>
        </w:rPr>
      </w:r>
      <w:r/>
    </w:p>
    <w:p>
      <w:pPr>
        <w:jc w:val="center"/>
        <w:spacing w:line="700" w:lineRule="exact"/>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r>
      <w:r/>
    </w:p>
    <w:p>
      <w:pPr>
        <w:jc w:val="center"/>
        <w:spacing w:line="700" w:lineRule="exact"/>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r>
      <w:r/>
    </w:p>
    <w:p>
      <w:pPr>
        <w:jc w:val="center"/>
        <w:spacing w:line="700" w:lineRule="exact"/>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outlineLvl w:val="0"/>
      </w:pPr>
      <w:r/>
      <w:bookmarkStart w:id="133" w:name="_GoBack"/>
      <w:r/>
      <w:bookmarkEnd w:id="133"/>
      <w:r>
        <w:rPr>
          <w:rFonts w:hint="eastAsia" w:ascii="黑体" w:hAnsi="黑体" w:eastAsia="黑体" w:cs="黑体"/>
          <w:sz w:val="44"/>
          <w:szCs w:val="20"/>
        </w:rPr>
        <w:t xml:space="preserve">第五章 </w:t>
      </w:r>
      <w:bookmarkEnd w:id="115"/>
      <w:r>
        <w:rPr>
          <w:rFonts w:hint="eastAsia" w:ascii="黑体" w:hAnsi="黑体" w:eastAsia="黑体" w:cs="黑体"/>
          <w:sz w:val="44"/>
          <w:szCs w:val="20"/>
        </w:rPr>
        <w:t xml:space="preserve">评标方法与评标标准</w:t>
      </w:r>
      <w:r/>
    </w:p>
    <w:p>
      <w:pPr>
        <w:ind w:firstLine="482"/>
        <w:jc w:val="left"/>
        <w:spacing w:line="560" w:lineRule="exact"/>
        <w:widowControl/>
        <w:rPr>
          <w:rFonts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政府采购政策功能落实</w:t>
      </w:r>
      <w:r/>
    </w:p>
    <w:p>
      <w:pPr>
        <w:numPr>
          <w:ilvl w:val="0"/>
          <w:numId w:val="3"/>
        </w:num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小微型企业价格扣除</w:t>
      </w:r>
      <w:r/>
    </w:p>
    <w:p>
      <w:pPr>
        <w:ind w:firstLine="480"/>
        <w:rPr>
          <w:rFonts w:ascii="宋体" w:hAnsi="宋体" w:eastAsia="Arial" w:cs="宋体"/>
          <w:sz w:val="24"/>
          <w:szCs w:val="20"/>
        </w:rPr>
      </w:pPr>
      <w:r>
        <w:rPr>
          <w:rFonts w:hint="eastAsia" w:ascii="微软雅黑" w:hAnsi="微软雅黑" w:eastAsia="微软雅黑" w:cs="微软雅黑"/>
          <w:sz w:val="24"/>
          <w:szCs w:val="20"/>
        </w:rPr>
        <w:t xml:space="preserve">（</w:t>
      </w:r>
      <w:r>
        <w:rPr>
          <w:rFonts w:hint="eastAsia" w:ascii="宋体" w:hAnsi="宋体" w:eastAsia="Arial" w:cs="宋体"/>
          <w:sz w:val="24"/>
          <w:szCs w:val="20"/>
        </w:rPr>
        <w:t xml:space="preserve">1</w:t>
      </w:r>
      <w:r>
        <w:rPr>
          <w:rFonts w:hint="eastAsia" w:ascii="微软雅黑" w:hAnsi="微软雅黑" w:eastAsia="微软雅黑" w:cs="微软雅黑"/>
          <w:sz w:val="24"/>
          <w:szCs w:val="20"/>
        </w:rPr>
        <w:t xml:space="preserve">）</w:t>
      </w:r>
      <w:r>
        <w:rPr>
          <w:rFonts w:ascii="Times New Roman" w:hAnsi="Times New Roman" w:eastAsia="宋体" w:cs="Times New Roman"/>
          <w:bCs/>
          <w:sz w:val="24"/>
        </w:rPr>
        <w:t xml:space="preserve">本项目专门面向中小企业采购，不再对小型和微型企业报价给予价格扣除。</w:t>
      </w:r>
      <w:r/>
    </w:p>
    <w:p>
      <w:pPr>
        <w:ind w:firstLine="482"/>
        <w:jc w:val="left"/>
        <w:spacing w:line="560" w:lineRule="exact"/>
        <w:widowControl/>
        <w:rPr>
          <w:rFonts w:ascii="宋体" w:hAnsi="宋体" w:eastAsia="Arial" w:cs="宋体"/>
          <w:sz w:val="24"/>
          <w:szCs w:val="20"/>
        </w:rPr>
      </w:pPr>
      <w:r>
        <w:rPr>
          <w:rFonts w:hint="eastAsia" w:ascii="微软雅黑" w:hAnsi="微软雅黑" w:eastAsia="微软雅黑" w:cs="微软雅黑"/>
          <w:sz w:val="24"/>
          <w:szCs w:val="20"/>
        </w:rPr>
        <w:t xml:space="preserve">（</w:t>
      </w:r>
      <w:r>
        <w:rPr>
          <w:rFonts w:hint="eastAsia" w:ascii="宋体" w:hAnsi="宋体" w:eastAsia="Arial" w:cs="宋体"/>
          <w:sz w:val="24"/>
          <w:szCs w:val="20"/>
        </w:rPr>
        <w:t xml:space="preserve">2）供应商需按照采购文件的要求提供相应的《中小企业声明函》。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2、残疾人福利单位价格扣除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（1）本项目对残疾人福利性单位视同小型、微型企业。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3、监狱和戒毒企业价格扣除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758"/>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2"/>
        <w:gridCol w:w="1668"/>
        <w:gridCol w:w="4970"/>
        <w:gridCol w:w="915"/>
      </w:tblGrid>
      <w:tr>
        <w:trPr>
          <w:trHeight w:val="567"/>
        </w:trPr>
        <w:tc>
          <w:tcPr>
            <w:tcW w:w="783" w:type="dxa"/>
            <w:vAlign w:val="center"/>
            <w:textDirection w:val="lrTb"/>
            <w:noWrap w:val="false"/>
          </w:tcPr>
          <w:p>
            <w:pPr>
              <w:jc w:val="center"/>
              <w:widowControl/>
              <w:rPr>
                <w:b/>
                <w:bCs/>
                <w:sz w:val="24"/>
                <w:lang w:val="zh-CN"/>
              </w:rPr>
            </w:pPr>
            <w:r/>
            <w:bookmarkStart w:id="118" w:name="_Toc203060318"/>
            <w:r>
              <w:rPr>
                <w:rFonts w:hint="eastAsia"/>
                <w:b/>
                <w:bCs/>
                <w:sz w:val="24"/>
                <w:lang w:val="zh-CN"/>
              </w:rPr>
              <w:t xml:space="preserve">序号</w:t>
            </w:r>
            <w:r/>
          </w:p>
        </w:tc>
        <w:tc>
          <w:tcPr>
            <w:tcW w:w="1302" w:type="dxa"/>
            <w:vAlign w:val="center"/>
            <w:textDirection w:val="lrTb"/>
            <w:noWrap w:val="false"/>
          </w:tcPr>
          <w:p>
            <w:pPr>
              <w:jc w:val="center"/>
              <w:widowControl/>
              <w:rPr>
                <w:b/>
                <w:bCs/>
                <w:sz w:val="24"/>
                <w:lang w:val="zh-CN"/>
              </w:rPr>
            </w:pPr>
            <w:r>
              <w:rPr>
                <w:rFonts w:hint="eastAsia"/>
                <w:b/>
                <w:bCs/>
                <w:sz w:val="24"/>
                <w:lang w:val="zh-CN"/>
              </w:rPr>
              <w:t xml:space="preserve">类别</w:t>
            </w:r>
            <w:r/>
          </w:p>
        </w:tc>
        <w:tc>
          <w:tcPr>
            <w:tcW w:w="1668" w:type="dxa"/>
            <w:vAlign w:val="center"/>
            <w:textDirection w:val="lrTb"/>
            <w:noWrap w:val="false"/>
          </w:tcPr>
          <w:p>
            <w:pPr>
              <w:jc w:val="center"/>
              <w:widowControl/>
              <w:rPr>
                <w:b/>
                <w:bCs/>
                <w:sz w:val="24"/>
                <w:lang w:val="zh-CN"/>
              </w:rPr>
            </w:pPr>
            <w:r>
              <w:rPr>
                <w:rFonts w:hint="eastAsia"/>
                <w:b/>
                <w:bCs/>
                <w:sz w:val="24"/>
                <w:lang w:val="zh-CN"/>
              </w:rPr>
              <w:t xml:space="preserve">评分因素</w:t>
            </w:r>
            <w:r/>
          </w:p>
        </w:tc>
        <w:tc>
          <w:tcPr>
            <w:tcW w:w="4970" w:type="dxa"/>
            <w:vAlign w:val="center"/>
            <w:textDirection w:val="lrTb"/>
            <w:noWrap w:val="false"/>
          </w:tcPr>
          <w:p>
            <w:pPr>
              <w:jc w:val="center"/>
              <w:rPr>
                <w:b/>
                <w:bCs/>
                <w:sz w:val="24"/>
              </w:rPr>
            </w:pPr>
            <w:r>
              <w:rPr>
                <w:rFonts w:hint="eastAsia"/>
                <w:b/>
                <w:bCs/>
                <w:sz w:val="24"/>
              </w:rPr>
              <w:t xml:space="preserve">评分标准</w:t>
            </w:r>
            <w:r/>
          </w:p>
        </w:tc>
        <w:tc>
          <w:tcPr>
            <w:tcW w:w="915" w:type="dxa"/>
            <w:vAlign w:val="center"/>
            <w:textDirection w:val="lrTb"/>
            <w:noWrap w:val="false"/>
          </w:tcPr>
          <w:p>
            <w:pPr>
              <w:rPr>
                <w:b/>
                <w:bCs/>
                <w:sz w:val="24"/>
              </w:rPr>
            </w:pPr>
            <w:r>
              <w:rPr>
                <w:rFonts w:hint="eastAsia"/>
                <w:b/>
                <w:bCs/>
                <w:sz w:val="24"/>
              </w:rPr>
              <w:t xml:space="preserve">分值</w:t>
            </w:r>
            <w:r/>
          </w:p>
        </w:tc>
      </w:tr>
      <w:tr>
        <w:trPr>
          <w:trHeight w:val="1862"/>
        </w:trPr>
        <w:tc>
          <w:tcPr>
            <w:tcW w:w="783" w:type="dxa"/>
            <w:vAlign w:val="center"/>
            <w:textDirection w:val="lrTb"/>
            <w:noWrap w:val="false"/>
          </w:tcPr>
          <w:p>
            <w:pPr>
              <w:jc w:val="center"/>
              <w:widowControl/>
              <w:rPr>
                <w:sz w:val="24"/>
                <w:lang w:val="zh-CN"/>
              </w:rPr>
            </w:pPr>
            <w:r>
              <w:rPr>
                <w:rFonts w:hint="eastAsia"/>
                <w:sz w:val="24"/>
                <w:lang w:val="zh-CN"/>
              </w:rPr>
              <w:t xml:space="preserve">1</w:t>
            </w:r>
            <w:r/>
          </w:p>
        </w:tc>
        <w:tc>
          <w:tcPr>
            <w:tcW w:w="1302" w:type="dxa"/>
            <w:vAlign w:val="center"/>
            <w:textDirection w:val="lrTb"/>
            <w:noWrap w:val="false"/>
          </w:tcPr>
          <w:p>
            <w:pPr>
              <w:jc w:val="center"/>
              <w:widowControl/>
              <w:rPr>
                <w:sz w:val="24"/>
                <w:lang w:val="zh-CN"/>
              </w:rPr>
            </w:pPr>
            <w:r>
              <w:rPr>
                <w:rFonts w:hint="eastAsia"/>
                <w:sz w:val="24"/>
                <w:lang w:val="zh-CN"/>
              </w:rPr>
              <w:t xml:space="preserve">价格分       （</w:t>
            </w:r>
            <w:r>
              <w:rPr>
                <w:rFonts w:hint="eastAsia" w:eastAsia="宋体"/>
                <w:sz w:val="24"/>
              </w:rPr>
              <w:t xml:space="preserve">1</w:t>
            </w:r>
            <w:r>
              <w:rPr>
                <w:sz w:val="24"/>
                <w:lang w:val="zh-CN"/>
              </w:rPr>
              <w:t xml:space="preserve">0</w:t>
            </w:r>
            <w:r>
              <w:rPr>
                <w:rFonts w:hint="eastAsia"/>
                <w:sz w:val="24"/>
                <w:lang w:val="zh-CN"/>
              </w:rPr>
              <w:t xml:space="preserve">分）</w:t>
            </w:r>
            <w:r/>
          </w:p>
        </w:tc>
        <w:tc>
          <w:tcPr>
            <w:tcW w:w="1668" w:type="dxa"/>
            <w:vAlign w:val="center"/>
            <w:textDirection w:val="lrTb"/>
            <w:noWrap w:val="false"/>
          </w:tcPr>
          <w:p>
            <w:pPr>
              <w:jc w:val="center"/>
              <w:widowControl/>
              <w:rPr>
                <w:sz w:val="24"/>
                <w:lang w:val="zh-CN"/>
              </w:rPr>
            </w:pPr>
            <w:r>
              <w:rPr>
                <w:rFonts w:hint="eastAsia"/>
                <w:sz w:val="24"/>
                <w:lang w:val="zh-CN"/>
              </w:rPr>
              <w:t xml:space="preserve">投标报价（</w:t>
            </w:r>
            <w:r>
              <w:rPr>
                <w:rFonts w:hint="eastAsia"/>
                <w:sz w:val="24"/>
              </w:rPr>
              <w:t xml:space="preserve">10</w:t>
            </w:r>
            <w:r>
              <w:rPr>
                <w:rFonts w:hint="eastAsia"/>
                <w:sz w:val="24"/>
                <w:lang w:val="zh-CN"/>
              </w:rPr>
              <w:t xml:space="preserve">分）</w:t>
            </w:r>
            <w:r/>
          </w:p>
        </w:tc>
        <w:tc>
          <w:tcPr>
            <w:tcW w:w="4970" w:type="dxa"/>
            <w:vAlign w:val="center"/>
            <w:textDirection w:val="lrTb"/>
            <w:noWrap w:val="false"/>
          </w:tcPr>
          <w:p>
            <w:pPr>
              <w:ind w:firstLine="480"/>
              <w:rPr>
                <w:sz w:val="24"/>
                <w:szCs w:val="20"/>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投标报价得分=（评标基准价／投标报价）×10。（得分保留两位小数）</w:t>
            </w:r>
            <w:r/>
          </w:p>
        </w:tc>
        <w:tc>
          <w:tcPr>
            <w:tcW w:w="915" w:type="dxa"/>
            <w:vAlign w:val="center"/>
            <w:textDirection w:val="lrTb"/>
            <w:noWrap w:val="false"/>
          </w:tcPr>
          <w:p>
            <w:pPr>
              <w:ind w:firstLine="240"/>
              <w:rPr>
                <w:sz w:val="24"/>
              </w:rPr>
            </w:pPr>
            <w:r>
              <w:rPr>
                <w:rFonts w:hint="eastAsia" w:eastAsia="宋体"/>
                <w:sz w:val="24"/>
              </w:rPr>
              <w:t xml:space="preserve">1</w:t>
            </w:r>
            <w:r>
              <w:rPr>
                <w:sz w:val="24"/>
              </w:rPr>
              <w:t xml:space="preserve">0</w:t>
            </w:r>
            <w:r/>
          </w:p>
        </w:tc>
      </w:tr>
      <w:tr>
        <w:trPr>
          <w:trHeight w:val="90"/>
        </w:trPr>
        <w:tc>
          <w:tcPr>
            <w:tcW w:w="783" w:type="dxa"/>
            <w:vAlign w:val="center"/>
            <w:textDirection w:val="lrTb"/>
            <w:noWrap w:val="false"/>
          </w:tcPr>
          <w:p>
            <w:pPr>
              <w:jc w:val="center"/>
              <w:widowControl/>
              <w:rPr>
                <w:sz w:val="24"/>
                <w:lang w:val="zh-CN"/>
              </w:rPr>
            </w:pPr>
            <w:r>
              <w:rPr>
                <w:rFonts w:hint="eastAsia"/>
                <w:sz w:val="24"/>
                <w:lang w:val="zh-CN"/>
              </w:rPr>
              <w:t xml:space="preserve">2</w:t>
            </w:r>
            <w:r/>
          </w:p>
        </w:tc>
        <w:tc>
          <w:tcPr>
            <w:tcW w:w="1302" w:type="dxa"/>
            <w:vAlign w:val="center"/>
            <w:textDirection w:val="lrTb"/>
            <w:noWrap w:val="false"/>
          </w:tcPr>
          <w:p>
            <w:pPr>
              <w:jc w:val="center"/>
              <w:widowControl/>
              <w:rPr>
                <w:sz w:val="24"/>
                <w:lang w:val="zh-CN"/>
              </w:rPr>
            </w:pPr>
            <w:r>
              <w:rPr>
                <w:rFonts w:hint="eastAsia"/>
                <w:sz w:val="24"/>
                <w:lang w:val="zh-CN"/>
              </w:rPr>
              <w:t xml:space="preserve">技术参数（</w:t>
            </w:r>
            <w:r>
              <w:rPr>
                <w:rFonts w:hint="eastAsia"/>
                <w:sz w:val="24"/>
              </w:rPr>
              <w:t xml:space="preserve">36</w:t>
            </w:r>
            <w:r>
              <w:rPr>
                <w:rFonts w:hint="eastAsia"/>
                <w:sz w:val="24"/>
                <w:lang w:val="zh-CN"/>
              </w:rPr>
              <w:t xml:space="preserve">分）</w:t>
            </w:r>
            <w:r/>
          </w:p>
        </w:tc>
        <w:tc>
          <w:tcPr>
            <w:tcW w:w="1668" w:type="dxa"/>
            <w:vAlign w:val="center"/>
            <w:textDirection w:val="lrTb"/>
            <w:noWrap w:val="false"/>
          </w:tcPr>
          <w:p>
            <w:pPr>
              <w:jc w:val="center"/>
              <w:widowControl/>
              <w:rPr>
                <w:sz w:val="24"/>
                <w:lang w:val="zh-CN"/>
              </w:rPr>
            </w:pPr>
            <w:r>
              <w:rPr>
                <w:rFonts w:hint="eastAsia"/>
                <w:sz w:val="24"/>
                <w:lang w:val="zh-CN"/>
              </w:rPr>
              <w:t xml:space="preserve">满足招标文件技术要求</w:t>
            </w:r>
            <w:r>
              <w:rPr>
                <w:rFonts w:hint="eastAsia"/>
                <w:sz w:val="24"/>
              </w:rPr>
              <w:t xml:space="preserve">   </w:t>
            </w:r>
            <w:r>
              <w:rPr>
                <w:rFonts w:hint="eastAsia"/>
                <w:sz w:val="24"/>
                <w:lang w:val="zh-CN"/>
              </w:rPr>
              <w:t xml:space="preserve">（</w:t>
            </w:r>
            <w:r>
              <w:rPr>
                <w:rFonts w:hint="eastAsia"/>
                <w:sz w:val="24"/>
              </w:rPr>
              <w:t xml:space="preserve">36</w:t>
            </w:r>
            <w:r>
              <w:rPr>
                <w:rFonts w:hint="eastAsia"/>
                <w:sz w:val="24"/>
                <w:lang w:val="zh-CN"/>
              </w:rPr>
              <w:t xml:space="preserve">分）</w:t>
            </w:r>
            <w:r/>
          </w:p>
        </w:tc>
        <w:tc>
          <w:tcPr>
            <w:tcW w:w="4970" w:type="dxa"/>
            <w:vAlign w:val="center"/>
            <w:textDirection w:val="lrTb"/>
            <w:noWrap w:val="false"/>
          </w:tcPr>
          <w:p>
            <w:pPr>
              <w:ind w:firstLine="480"/>
              <w:rPr>
                <w:rFonts w:ascii="宋体" w:hAnsi="宋体" w:cs="Courier New"/>
                <w:bCs/>
                <w:sz w:val="24"/>
              </w:rPr>
            </w:pPr>
            <w:r>
              <w:rPr>
                <w:rFonts w:hint="eastAsia" w:ascii="宋体" w:hAnsi="宋体" w:cs="Courier New"/>
                <w:bCs/>
                <w:sz w:val="24"/>
              </w:rPr>
              <w:t xml:space="preserve">对投标人所投产品和服务的技术要求响应情况进行评分。详细技术要求中若要求提供相关证明材料，但投标书中未提供的，算作负偏离。</w:t>
            </w:r>
            <w:r/>
          </w:p>
          <w:p>
            <w:pPr>
              <w:ind w:firstLine="480"/>
              <w:rPr>
                <w:rFonts w:ascii="宋体" w:hAnsi="宋体" w:cs="宋体"/>
                <w:sz w:val="24"/>
              </w:rPr>
            </w:pPr>
            <w:r>
              <w:rPr>
                <w:rFonts w:hint="eastAsia" w:ascii="宋体" w:hAnsi="宋体" w:cs="宋体"/>
                <w:sz w:val="24"/>
              </w:rPr>
              <w:t xml:space="preserve">1）技术要求指标全部满足招标文件要求的，得满分。</w:t>
            </w:r>
            <w:r/>
          </w:p>
          <w:p>
            <w:pPr>
              <w:ind w:firstLine="480"/>
              <w:rPr>
                <w:rFonts w:ascii="宋体" w:hAnsi="宋体" w:cs="宋体"/>
                <w:sz w:val="24"/>
              </w:rPr>
            </w:pPr>
            <w:r>
              <w:rPr>
                <w:rFonts w:hint="eastAsia" w:ascii="宋体" w:hAnsi="宋体" w:cs="宋体"/>
                <w:sz w:val="24"/>
              </w:rPr>
              <w:t xml:space="preserve">2）加★号为实质性响应指标，不接受负偏离，若负偏离作废标处理。</w:t>
            </w:r>
            <w:r/>
          </w:p>
          <w:p>
            <w:pPr>
              <w:ind w:firstLine="480"/>
              <w:rPr>
                <w:rFonts w:ascii="宋体" w:hAnsi="宋体" w:cs="宋体"/>
                <w:sz w:val="24"/>
              </w:rPr>
            </w:pPr>
            <w:r>
              <w:rPr>
                <w:rFonts w:hint="eastAsia" w:ascii="宋体" w:hAnsi="宋体" w:cs="宋体"/>
                <w:sz w:val="24"/>
              </w:rPr>
              <w:t xml:space="preserve">3）加▲号为重要指标，如有负偏离，每项扣</w:t>
            </w:r>
            <w:r>
              <w:rPr>
                <w:rFonts w:hint="eastAsia" w:ascii="宋体" w:hAnsi="宋体" w:eastAsia="宋体" w:cs="宋体"/>
                <w:sz w:val="24"/>
              </w:rPr>
              <w:t xml:space="preserve">2</w:t>
            </w:r>
            <w:r>
              <w:rPr>
                <w:rFonts w:hint="eastAsia" w:ascii="宋体" w:hAnsi="宋体" w:cs="宋体"/>
                <w:sz w:val="24"/>
              </w:rPr>
              <w:t xml:space="preserve">分，扣完为止。</w:t>
            </w:r>
            <w:r/>
          </w:p>
          <w:p>
            <w:pPr>
              <w:ind w:firstLine="480"/>
              <w:widowControl/>
              <w:rPr>
                <w:sz w:val="24"/>
                <w:szCs w:val="20"/>
              </w:rPr>
            </w:pPr>
            <w:r>
              <w:rPr>
                <w:rFonts w:hint="eastAsia" w:ascii="宋体" w:hAnsi="宋体" w:cs="宋体"/>
                <w:sz w:val="24"/>
              </w:rPr>
              <w:t xml:space="preserve">4）其他为一般性指标，如有负偏离，每项扣</w:t>
            </w:r>
            <w:r>
              <w:rPr>
                <w:rFonts w:hint="eastAsia" w:ascii="宋体" w:hAnsi="宋体" w:eastAsia="宋体" w:cs="宋体"/>
                <w:sz w:val="24"/>
              </w:rPr>
              <w:t xml:space="preserve">0.3</w:t>
            </w:r>
            <w:r>
              <w:rPr>
                <w:rFonts w:hint="eastAsia" w:ascii="宋体" w:hAnsi="宋体" w:cs="宋体"/>
                <w:sz w:val="24"/>
              </w:rPr>
              <w:t xml:space="preserve">分，扣完为止。</w:t>
            </w:r>
            <w:r/>
          </w:p>
        </w:tc>
        <w:tc>
          <w:tcPr>
            <w:tcW w:w="915" w:type="dxa"/>
            <w:vAlign w:val="center"/>
            <w:textDirection w:val="lrTb"/>
            <w:noWrap w:val="false"/>
          </w:tcPr>
          <w:p>
            <w:pPr>
              <w:ind w:firstLine="240"/>
              <w:rPr>
                <w:sz w:val="24"/>
              </w:rPr>
            </w:pPr>
            <w:r>
              <w:rPr>
                <w:rFonts w:hint="eastAsia"/>
                <w:sz w:val="24"/>
              </w:rPr>
              <w:t xml:space="preserve">36</w:t>
            </w:r>
            <w:r/>
          </w:p>
        </w:tc>
      </w:tr>
      <w:tr>
        <w:trPr>
          <w:trHeight w:val="567"/>
        </w:trPr>
        <w:tc>
          <w:tcPr>
            <w:tcW w:w="783" w:type="dxa"/>
            <w:vAlign w:val="center"/>
            <w:textDirection w:val="lrTb"/>
            <w:noWrap w:val="false"/>
          </w:tcPr>
          <w:p>
            <w:pPr>
              <w:jc w:val="center"/>
              <w:widowControl/>
              <w:rPr>
                <w:sz w:val="24"/>
                <w:lang w:val="zh-CN"/>
              </w:rPr>
            </w:pPr>
            <w:r>
              <w:rPr>
                <w:rFonts w:hint="eastAsia"/>
                <w:sz w:val="24"/>
                <w:lang w:val="zh-CN"/>
              </w:rPr>
              <w:t xml:space="preserve">3</w:t>
            </w:r>
            <w:r/>
          </w:p>
        </w:tc>
        <w:tc>
          <w:tcPr>
            <w:tcW w:w="1302" w:type="dxa"/>
            <w:vAlign w:val="center"/>
            <w:textDirection w:val="lrTb"/>
            <w:noWrap w:val="false"/>
          </w:tcPr>
          <w:p>
            <w:pPr>
              <w:jc w:val="center"/>
              <w:widowControl/>
              <w:rPr>
                <w:sz w:val="24"/>
                <w:lang w:val="zh-CN"/>
              </w:rPr>
            </w:pPr>
            <w:r>
              <w:rPr>
                <w:rFonts w:hint="eastAsia"/>
                <w:sz w:val="24"/>
                <w:lang w:val="zh-CN"/>
              </w:rPr>
              <w:t xml:space="preserve">商务部分</w:t>
            </w:r>
            <w:r/>
          </w:p>
          <w:p>
            <w:pPr>
              <w:jc w:val="center"/>
              <w:widowControl/>
              <w:rPr>
                <w:sz w:val="24"/>
                <w:lang w:val="zh-CN"/>
              </w:rPr>
            </w:pPr>
            <w:r>
              <w:rPr>
                <w:rFonts w:hint="eastAsia"/>
                <w:sz w:val="24"/>
                <w:lang w:val="zh-CN"/>
              </w:rPr>
              <w:t xml:space="preserve">（1</w:t>
            </w:r>
            <w:r>
              <w:rPr>
                <w:rFonts w:hint="eastAsia"/>
                <w:sz w:val="24"/>
                <w:lang w:val="en-US" w:eastAsia="zh-CN"/>
              </w:rPr>
              <w:t xml:space="preserve">2</w:t>
            </w:r>
            <w:r>
              <w:rPr>
                <w:rFonts w:hint="eastAsia"/>
                <w:sz w:val="24"/>
                <w:lang w:val="zh-CN"/>
              </w:rPr>
              <w:t xml:space="preserve">分）</w:t>
            </w:r>
            <w:r/>
          </w:p>
        </w:tc>
        <w:tc>
          <w:tcPr>
            <w:tcW w:w="1668" w:type="dxa"/>
            <w:vAlign w:val="center"/>
            <w:textDirection w:val="lrTb"/>
            <w:noWrap w:val="false"/>
          </w:tcPr>
          <w:p>
            <w:pPr>
              <w:jc w:val="center"/>
              <w:widowControl/>
              <w:rPr>
                <w:sz w:val="24"/>
                <w:lang w:val="zh-CN"/>
              </w:rPr>
            </w:pPr>
            <w:r>
              <w:rPr>
                <w:rFonts w:hint="eastAsia" w:ascii="Times New Roman" w:hAnsi="Times New Roman" w:eastAsia="宋体" w:cs="Times New Roman"/>
                <w:sz w:val="24"/>
              </w:rPr>
              <w:t xml:space="preserve">自主研发能力</w:t>
            </w:r>
            <w:r>
              <w:rPr>
                <w:rFonts w:hint="eastAsia" w:ascii="Times New Roman" w:hAnsi="Times New Roman" w:eastAsia="宋体" w:cs="Times New Roman"/>
                <w:sz w:val="24"/>
                <w:lang w:val="zh-CN"/>
              </w:rPr>
              <w:t xml:space="preserve"> （</w:t>
            </w:r>
            <w:r>
              <w:rPr>
                <w:rFonts w:hint="eastAsia" w:cs="Times New Roman"/>
                <w:sz w:val="24"/>
              </w:rPr>
              <w:t xml:space="preserve">1</w:t>
            </w:r>
            <w:r>
              <w:rPr>
                <w:rFonts w:hint="eastAsia" w:cs="Times New Roman"/>
                <w:sz w:val="24"/>
                <w:lang w:val="en-US" w:eastAsia="zh-CN"/>
              </w:rPr>
              <w:t xml:space="preserve">2</w:t>
            </w:r>
            <w:r>
              <w:rPr>
                <w:rFonts w:hint="eastAsia" w:ascii="Times New Roman" w:hAnsi="Times New Roman" w:eastAsia="宋体" w:cs="Times New Roman"/>
                <w:sz w:val="24"/>
                <w:lang w:val="zh-CN"/>
              </w:rPr>
              <w:t xml:space="preserve">分）</w:t>
            </w:r>
            <w:r/>
          </w:p>
        </w:tc>
        <w:tc>
          <w:tcPr>
            <w:tcW w:w="4970" w:type="dxa"/>
            <w:vAlign w:val="center"/>
            <w:textDirection w:val="lrTb"/>
            <w:noWrap w:val="false"/>
          </w:tcPr>
          <w:p>
            <w:pPr>
              <w:ind w:firstLine="480"/>
            </w:pPr>
            <w:r>
              <w:rPr>
                <w:rFonts w:hint="eastAsia" w:ascii="宋体" w:hAnsi="宋体" w:cs="Courier New"/>
                <w:bCs/>
                <w:sz w:val="24"/>
              </w:rPr>
              <w:t xml:space="preserve">投标人提供2</w:t>
            </w:r>
            <w:r>
              <w:rPr>
                <w:rFonts w:ascii="宋体" w:hAnsi="宋体" w:cs="Courier New"/>
                <w:bCs/>
                <w:sz w:val="24"/>
              </w:rPr>
              <w:t xml:space="preserve">022</w:t>
            </w:r>
            <w:r>
              <w:rPr>
                <w:rFonts w:hint="eastAsia" w:ascii="宋体" w:hAnsi="宋体" w:cs="Courier New"/>
                <w:bCs/>
                <w:sz w:val="24"/>
              </w:rPr>
              <w:t xml:space="preserve">年1月1日以来（以合同签订时间为准），</w:t>
            </w:r>
            <w:r>
              <w:rPr>
                <w:rFonts w:hint="eastAsia" w:ascii="宋体" w:hAnsi="宋体" w:cs="Courier New"/>
                <w:bCs/>
                <w:sz w:val="24"/>
                <w:lang w:val="zh-CN"/>
              </w:rPr>
              <w:t xml:space="preserve">投标供应商或所投产品厂家承接过同类项目的</w:t>
            </w:r>
            <w:r>
              <w:rPr>
                <w:rFonts w:hint="eastAsia" w:ascii="宋体" w:hAnsi="宋体" w:eastAsia="宋体" w:cs="宋体"/>
                <w:sz w:val="24"/>
              </w:rPr>
              <w:t xml:space="preserve">合同扫描件并加盖公章，合同服务内容需包含至少一项“数据库复制”、“数据库同步”、“数据迁移”</w:t>
            </w:r>
            <w:r>
              <w:rPr>
                <w:rFonts w:hint="eastAsia" w:ascii="宋体" w:hAnsi="宋体" w:eastAsia="宋体" w:cs="宋体"/>
                <w:sz w:val="24"/>
                <w:lang w:val="zh-CN"/>
              </w:rPr>
              <w:t xml:space="preserve">“</w:t>
            </w:r>
            <w:r>
              <w:rPr>
                <w:rFonts w:hint="eastAsia" w:ascii="宋体" w:hAnsi="宋体" w:eastAsia="宋体" w:cs="宋体"/>
                <w:sz w:val="24"/>
              </w:rPr>
              <w:t xml:space="preserve">文件复制”等关键字；每提供一个成功案例得</w:t>
            </w:r>
            <w:r>
              <w:rPr>
                <w:rFonts w:ascii="宋体" w:hAnsi="宋体" w:eastAsia="宋体" w:cs="宋体"/>
                <w:sz w:val="24"/>
              </w:rPr>
              <w:t xml:space="preserve">2</w:t>
            </w:r>
            <w:r>
              <w:rPr>
                <w:rFonts w:hint="eastAsia" w:ascii="宋体" w:hAnsi="宋体" w:eastAsia="宋体" w:cs="宋体"/>
                <w:sz w:val="24"/>
              </w:rPr>
              <w:t xml:space="preserve">分，同样案例不重复计分，本项最高得1</w:t>
            </w:r>
            <w:r>
              <w:rPr>
                <w:rFonts w:ascii="宋体" w:hAnsi="宋体" w:eastAsia="宋体" w:cs="宋体"/>
                <w:sz w:val="24"/>
              </w:rPr>
              <w:t xml:space="preserve">2</w:t>
            </w:r>
            <w:r>
              <w:rPr>
                <w:rFonts w:hint="eastAsia" w:ascii="宋体" w:hAnsi="宋体" w:eastAsia="宋体" w:cs="宋体"/>
                <w:sz w:val="24"/>
              </w:rPr>
              <w:t xml:space="preserve">分。（投标人提供合同扫描件并加盖公章，需包含合同签订时间、服务内容）</w:t>
            </w:r>
            <w:r/>
          </w:p>
        </w:tc>
        <w:tc>
          <w:tcPr>
            <w:tcW w:w="915" w:type="dxa"/>
            <w:vAlign w:val="center"/>
            <w:textDirection w:val="lrTb"/>
            <w:noWrap w:val="false"/>
          </w:tcPr>
          <w:p>
            <w:pPr>
              <w:ind w:firstLine="240"/>
              <w:rPr>
                <w:rFonts w:hint="eastAsia" w:eastAsiaTheme="minorEastAsia"/>
                <w:sz w:val="24"/>
                <w:lang w:val="en-US" w:eastAsia="zh-CN"/>
              </w:rPr>
            </w:pPr>
            <w:r>
              <w:rPr>
                <w:rFonts w:hint="eastAsia"/>
                <w:sz w:val="24"/>
              </w:rPr>
              <w:t xml:space="preserve">1</w:t>
            </w:r>
            <w:r>
              <w:rPr>
                <w:rFonts w:hint="eastAsia"/>
                <w:sz w:val="24"/>
                <w:lang w:val="en-US" w:eastAsia="zh-CN"/>
              </w:rPr>
              <w:t xml:space="preserve">2</w:t>
            </w:r>
            <w:r/>
          </w:p>
        </w:tc>
      </w:tr>
      <w:tr>
        <w:trPr>
          <w:trHeight w:val="567"/>
        </w:trPr>
        <w:tc>
          <w:tcPr>
            <w:tcW w:w="783" w:type="dxa"/>
            <w:vAlign w:val="center"/>
            <w:vMerge w:val="restart"/>
            <w:textDirection w:val="lrTb"/>
            <w:noWrap w:val="false"/>
          </w:tcPr>
          <w:p>
            <w:pPr>
              <w:jc w:val="center"/>
              <w:widowControl/>
              <w:rPr>
                <w:sz w:val="24"/>
                <w:lang w:val="zh-CN"/>
              </w:rPr>
            </w:pPr>
            <w:r>
              <w:rPr>
                <w:rFonts w:hint="eastAsia"/>
                <w:sz w:val="24"/>
                <w:lang w:val="zh-CN"/>
              </w:rPr>
              <w:t xml:space="preserve">4</w:t>
            </w:r>
            <w:r/>
          </w:p>
        </w:tc>
        <w:tc>
          <w:tcPr>
            <w:tcW w:w="1302" w:type="dxa"/>
            <w:vAlign w:val="center"/>
            <w:vMerge w:val="restart"/>
            <w:textDirection w:val="lrTb"/>
            <w:noWrap w:val="false"/>
          </w:tcPr>
          <w:p>
            <w:pPr>
              <w:jc w:val="center"/>
              <w:widowControl/>
              <w:rPr>
                <w:sz w:val="24"/>
                <w:lang w:val="zh-CN"/>
              </w:rPr>
            </w:pPr>
            <w:r>
              <w:rPr>
                <w:rFonts w:hint="eastAsia"/>
                <w:sz w:val="24"/>
                <w:lang w:val="zh-CN"/>
              </w:rPr>
              <w:t xml:space="preserve">企业实力</w:t>
            </w:r>
            <w:r/>
          </w:p>
          <w:p>
            <w:pPr>
              <w:jc w:val="center"/>
              <w:widowControl/>
              <w:rPr>
                <w:sz w:val="24"/>
                <w:lang w:val="zh-CN"/>
              </w:rPr>
            </w:pPr>
            <w:r>
              <w:rPr>
                <w:rFonts w:hint="eastAsia"/>
                <w:sz w:val="24"/>
                <w:lang w:val="zh-CN"/>
              </w:rPr>
              <w:t xml:space="preserve">（</w:t>
            </w:r>
            <w:r>
              <w:rPr>
                <w:rFonts w:hint="eastAsia"/>
                <w:sz w:val="24"/>
              </w:rPr>
              <w:t xml:space="preserve">1</w:t>
            </w:r>
            <w:r>
              <w:rPr>
                <w:rFonts w:hint="eastAsia"/>
                <w:sz w:val="24"/>
                <w:lang w:val="en-US" w:eastAsia="zh-CN"/>
              </w:rPr>
              <w:t xml:space="preserve">2</w:t>
            </w:r>
            <w:r>
              <w:rPr>
                <w:rFonts w:hint="eastAsia"/>
                <w:sz w:val="24"/>
                <w:lang w:val="zh-CN"/>
              </w:rPr>
              <w:t xml:space="preserve">分）</w:t>
            </w:r>
            <w:r/>
          </w:p>
        </w:tc>
        <w:tc>
          <w:tcPr>
            <w:tcW w:w="1668" w:type="dxa"/>
            <w:vAlign w:val="center"/>
            <w:textDirection w:val="lrTb"/>
            <w:noWrap w:val="false"/>
          </w:tcPr>
          <w:p>
            <w:pPr>
              <w:jc w:val="center"/>
              <w:widowControl/>
              <w:rPr>
                <w:sz w:val="24"/>
                <w:lang w:val="zh-CN"/>
              </w:rPr>
            </w:pPr>
            <w:r>
              <w:rPr>
                <w:rFonts w:hint="eastAsia"/>
                <w:sz w:val="24"/>
                <w:lang w:val="zh-CN"/>
              </w:rPr>
              <w:t xml:space="preserve">企业资质</w:t>
            </w:r>
            <w:r/>
          </w:p>
          <w:p>
            <w:pPr>
              <w:jc w:val="center"/>
              <w:widowControl/>
              <w:rPr>
                <w:sz w:val="24"/>
                <w:lang w:val="zh-CN"/>
              </w:rPr>
            </w:pPr>
            <w:r>
              <w:rPr>
                <w:rFonts w:hint="eastAsia"/>
                <w:sz w:val="24"/>
                <w:lang w:val="zh-CN"/>
              </w:rPr>
              <w:t xml:space="preserve">（</w:t>
            </w:r>
            <w:r>
              <w:rPr>
                <w:rFonts w:hint="eastAsia"/>
                <w:sz w:val="24"/>
                <w:lang w:val="en-US" w:eastAsia="zh-CN"/>
              </w:rPr>
              <w:t xml:space="preserve">6</w:t>
            </w:r>
            <w:r>
              <w:rPr>
                <w:rFonts w:hint="eastAsia"/>
                <w:sz w:val="24"/>
                <w:lang w:val="zh-CN"/>
              </w:rPr>
              <w:t xml:space="preserve">分）</w:t>
            </w:r>
            <w:r/>
          </w:p>
        </w:tc>
        <w:tc>
          <w:tcPr>
            <w:tcW w:w="4970" w:type="dxa"/>
            <w:vAlign w:val="center"/>
            <w:textDirection w:val="lrTb"/>
            <w:noWrap w:val="false"/>
          </w:tcPr>
          <w:p>
            <w:pPr>
              <w:pStyle w:val="1025"/>
              <w:rPr>
                <w:rFonts w:ascii="宋体" w:hAnsi="宋体" w:eastAsia="Arial" w:cs="Courier New"/>
                <w:bCs/>
                <w:color w:val="auto"/>
                <w:sz w:val="24"/>
                <w:szCs w:val="24"/>
              </w:rPr>
            </w:pPr>
            <w:r>
              <w:rPr>
                <w:rFonts w:hint="eastAsia" w:ascii="宋体" w:hAnsi="宋体" w:eastAsia="Arial" w:cs="Courier New"/>
                <w:bCs/>
                <w:color w:val="auto"/>
                <w:sz w:val="24"/>
                <w:szCs w:val="24"/>
              </w:rPr>
              <w:t xml:space="preserve">1、投标人具有质量管理体系认证证书，得1分。</w:t>
            </w:r>
            <w:r/>
          </w:p>
          <w:p>
            <w:pPr>
              <w:pStyle w:val="1025"/>
              <w:rPr>
                <w:rFonts w:ascii="宋体" w:hAnsi="宋体" w:eastAsia="Arial" w:cs="Courier New"/>
                <w:bCs/>
                <w:color w:val="auto"/>
                <w:sz w:val="24"/>
                <w:szCs w:val="24"/>
              </w:rPr>
            </w:pPr>
            <w:r>
              <w:rPr>
                <w:rFonts w:hint="eastAsia" w:ascii="宋体" w:hAnsi="宋体" w:eastAsia="Arial" w:cs="Courier New"/>
                <w:bCs/>
                <w:color w:val="auto"/>
                <w:sz w:val="24"/>
                <w:szCs w:val="24"/>
              </w:rPr>
              <w:t xml:space="preserve">2、投标人具有信息安全管理体系认证证书得</w:t>
            </w:r>
            <w:r>
              <w:rPr>
                <w:rFonts w:hint="eastAsia" w:ascii="宋体" w:hAnsi="宋体" w:eastAsia="宋体" w:cs="Courier New"/>
                <w:bCs/>
                <w:color w:val="auto"/>
                <w:sz w:val="24"/>
                <w:szCs w:val="24"/>
                <w:lang w:val="en-US" w:eastAsia="zh-CN"/>
              </w:rPr>
              <w:t xml:space="preserve">2</w:t>
            </w:r>
            <w:r>
              <w:rPr>
                <w:rFonts w:hint="eastAsia" w:ascii="宋体" w:hAnsi="宋体" w:eastAsia="Arial" w:cs="Courier New"/>
                <w:bCs/>
                <w:color w:val="auto"/>
                <w:sz w:val="24"/>
                <w:szCs w:val="24"/>
              </w:rPr>
              <w:t xml:space="preserve">分。</w:t>
            </w:r>
            <w:r/>
          </w:p>
          <w:p>
            <w:pPr>
              <w:pStyle w:val="1025"/>
              <w:rPr>
                <w:rFonts w:ascii="宋体" w:hAnsi="宋体" w:eastAsia="Arial" w:cs="Courier New"/>
                <w:bCs/>
                <w:color w:val="auto"/>
                <w:sz w:val="24"/>
                <w:szCs w:val="24"/>
              </w:rPr>
            </w:pPr>
            <w:r>
              <w:rPr>
                <w:rFonts w:hint="eastAsia" w:ascii="宋体" w:hAnsi="宋体" w:eastAsia="宋体" w:cs="Courier New"/>
                <w:bCs/>
                <w:color w:val="auto"/>
                <w:sz w:val="24"/>
                <w:szCs w:val="24"/>
                <w:lang w:val="en-US" w:eastAsia="zh-CN"/>
              </w:rPr>
              <w:t xml:space="preserve">3</w:t>
            </w:r>
            <w:r>
              <w:rPr>
                <w:rFonts w:hint="eastAsia" w:ascii="宋体" w:hAnsi="宋体" w:eastAsia="Arial" w:cs="Courier New"/>
                <w:bCs/>
                <w:color w:val="auto"/>
                <w:sz w:val="24"/>
                <w:szCs w:val="24"/>
              </w:rPr>
              <w:t xml:space="preserve">、投标人具有信息技术服务管理体系认证证书，</w:t>
            </w:r>
            <w:r>
              <w:rPr>
                <w:rFonts w:hint="eastAsia" w:ascii="宋体" w:hAnsi="宋体" w:eastAsia="Arial" w:cs="Courier New"/>
                <w:bCs/>
                <w:color w:val="auto"/>
                <w:sz w:val="24"/>
                <w:szCs w:val="24"/>
                <w:highlight w:val="none"/>
              </w:rPr>
              <w:t xml:space="preserve">得</w:t>
            </w:r>
            <w:r>
              <w:rPr>
                <w:rFonts w:hint="eastAsia" w:ascii="宋体" w:hAnsi="宋体" w:eastAsia="宋体" w:cs="Courier New"/>
                <w:bCs/>
                <w:color w:val="auto"/>
                <w:sz w:val="24"/>
                <w:szCs w:val="24"/>
                <w:highlight w:val="none"/>
                <w:lang w:val="en-US" w:eastAsia="zh-CN"/>
              </w:rPr>
              <w:t xml:space="preserve">2</w:t>
            </w:r>
            <w:r>
              <w:rPr>
                <w:rFonts w:hint="eastAsia" w:ascii="宋体" w:hAnsi="宋体" w:eastAsia="Arial" w:cs="Courier New"/>
                <w:bCs/>
                <w:color w:val="auto"/>
                <w:sz w:val="24"/>
                <w:szCs w:val="24"/>
                <w:highlight w:val="none"/>
              </w:rPr>
              <w:t xml:space="preserve">分。</w:t>
            </w:r>
            <w:r/>
          </w:p>
          <w:p>
            <w:pPr>
              <w:pStyle w:val="1025"/>
              <w:rPr>
                <w:rFonts w:ascii="宋体" w:hAnsi="宋体" w:eastAsia="Arial" w:cs="Courier New"/>
                <w:bCs/>
                <w:color w:val="auto"/>
                <w:sz w:val="24"/>
                <w:szCs w:val="24"/>
              </w:rPr>
            </w:pPr>
            <w:r>
              <w:rPr>
                <w:rFonts w:hint="eastAsia" w:ascii="宋体" w:hAnsi="宋体" w:eastAsia="宋体" w:cs="Courier New"/>
                <w:bCs/>
                <w:color w:val="auto"/>
                <w:sz w:val="24"/>
                <w:szCs w:val="24"/>
                <w:lang w:val="en-US" w:eastAsia="zh-CN"/>
              </w:rPr>
              <w:t xml:space="preserve">4</w:t>
            </w:r>
            <w:r>
              <w:rPr>
                <w:rFonts w:hint="eastAsia" w:ascii="宋体" w:hAnsi="宋体" w:eastAsia="Arial" w:cs="Courier New"/>
                <w:bCs/>
                <w:color w:val="auto"/>
                <w:sz w:val="24"/>
                <w:szCs w:val="24"/>
              </w:rPr>
              <w:t xml:space="preserve">、投标人具有职业健康安全管理体系认证证书，得1分。</w:t>
            </w:r>
            <w:r/>
          </w:p>
          <w:p>
            <w:pPr>
              <w:pStyle w:val="1025"/>
              <w:rPr>
                <w:rFonts w:ascii="宋体" w:hAnsi="宋体" w:eastAsia="Arial" w:cs="Courier New"/>
                <w:bCs/>
                <w:color w:val="auto"/>
                <w:sz w:val="24"/>
                <w:szCs w:val="24"/>
              </w:rPr>
            </w:pPr>
            <w:r>
              <w:rPr>
                <w:rFonts w:hint="eastAsia" w:ascii="宋体" w:hAnsi="宋体" w:eastAsia="Arial" w:cs="Courier New"/>
                <w:bCs/>
                <w:color w:val="auto"/>
                <w:sz w:val="24"/>
                <w:szCs w:val="24"/>
              </w:rPr>
              <w:t xml:space="preserve">注：以提供的证书复印件及官网查询截图加盖投标人公章计分，未提供不得分。</w:t>
            </w:r>
            <w:r/>
          </w:p>
        </w:tc>
        <w:tc>
          <w:tcPr>
            <w:tcW w:w="915" w:type="dxa"/>
            <w:vAlign w:val="center"/>
            <w:textDirection w:val="lrTb"/>
            <w:noWrap w:val="false"/>
          </w:tcPr>
          <w:p>
            <w:pPr>
              <w:ind w:firstLine="240"/>
              <w:rPr>
                <w:rFonts w:hint="eastAsia" w:eastAsiaTheme="minorEastAsia"/>
                <w:sz w:val="24"/>
                <w:lang w:val="en-US" w:eastAsia="zh-CN"/>
              </w:rPr>
            </w:pPr>
            <w:r>
              <w:rPr>
                <w:rFonts w:hint="eastAsia"/>
                <w:sz w:val="24"/>
                <w:lang w:val="en-US" w:eastAsia="zh-CN"/>
              </w:rPr>
              <w:t xml:space="preserve">6</w:t>
            </w:r>
            <w:r/>
          </w:p>
        </w:tc>
      </w:tr>
      <w:tr>
        <w:trPr>
          <w:trHeight w:val="567"/>
        </w:trPr>
        <w:tc>
          <w:tcPr>
            <w:tcW w:w="783" w:type="dxa"/>
            <w:vAlign w:val="center"/>
            <w:vMerge w:val="continue"/>
            <w:textDirection w:val="lrTb"/>
            <w:noWrap w:val="false"/>
          </w:tcPr>
          <w:p>
            <w:pPr>
              <w:jc w:val="center"/>
              <w:widowControl/>
              <w:rPr>
                <w:sz w:val="24"/>
                <w:lang w:val="zh-CN"/>
              </w:rPr>
            </w:pPr>
            <w:r>
              <w:rPr>
                <w:sz w:val="24"/>
                <w:lang w:val="zh-CN"/>
              </w:rPr>
            </w:r>
            <w:r/>
          </w:p>
        </w:tc>
        <w:tc>
          <w:tcPr>
            <w:tcW w:w="1302" w:type="dxa"/>
            <w:vAlign w:val="center"/>
            <w:vMerge w:val="continue"/>
            <w:textDirection w:val="lrTb"/>
            <w:noWrap w:val="false"/>
          </w:tcPr>
          <w:p>
            <w:pPr>
              <w:jc w:val="center"/>
              <w:widowControl/>
              <w:rPr>
                <w:sz w:val="24"/>
                <w:lang w:val="zh-CN"/>
              </w:rPr>
            </w:pPr>
            <w:r>
              <w:rPr>
                <w:sz w:val="24"/>
                <w:lang w:val="zh-CN"/>
              </w:rPr>
            </w:r>
            <w:r/>
          </w:p>
        </w:tc>
        <w:tc>
          <w:tcPr>
            <w:tcW w:w="1668" w:type="dxa"/>
            <w:vAlign w:val="center"/>
            <w:textDirection w:val="lrTb"/>
            <w:noWrap w:val="false"/>
          </w:tcPr>
          <w:p>
            <w:pPr>
              <w:jc w:val="center"/>
              <w:widowControl/>
              <w:rPr>
                <w:sz w:val="24"/>
                <w:lang w:val="zh-CN"/>
              </w:rPr>
            </w:pPr>
            <w:r>
              <w:rPr>
                <w:rFonts w:hint="eastAsia"/>
                <w:sz w:val="24"/>
                <w:lang w:val="zh-CN"/>
              </w:rPr>
              <w:t xml:space="preserve">人员证书</w:t>
            </w:r>
            <w:r/>
          </w:p>
          <w:p>
            <w:pPr>
              <w:jc w:val="center"/>
              <w:widowControl/>
              <w:rPr>
                <w:sz w:val="24"/>
                <w:lang w:val="zh-CN"/>
              </w:rPr>
            </w:pPr>
            <w:r>
              <w:rPr>
                <w:rFonts w:hint="eastAsia"/>
                <w:sz w:val="24"/>
                <w:lang w:val="zh-CN"/>
              </w:rPr>
              <w:t xml:space="preserve">（</w:t>
            </w:r>
            <w:r>
              <w:rPr>
                <w:rFonts w:hint="eastAsia"/>
                <w:sz w:val="24"/>
              </w:rPr>
              <w:t xml:space="preserve">6</w:t>
            </w:r>
            <w:r>
              <w:rPr>
                <w:rFonts w:hint="eastAsia"/>
                <w:sz w:val="24"/>
                <w:lang w:val="zh-CN"/>
              </w:rPr>
              <w:t xml:space="preserve">分）</w:t>
            </w:r>
            <w:r/>
          </w:p>
        </w:tc>
        <w:tc>
          <w:tcPr>
            <w:tcW w:w="4970" w:type="dxa"/>
            <w:vAlign w:val="center"/>
            <w:textDirection w:val="lrTb"/>
            <w:noWrap w:val="false"/>
          </w:tcPr>
          <w:p>
            <w:pPr>
              <w:pStyle w:val="1025"/>
              <w:ind w:firstLine="480"/>
              <w:rPr>
                <w:rFonts w:ascii="宋体" w:hAnsi="宋体" w:eastAsia="Arial" w:cs="Courier New"/>
                <w:bCs/>
                <w:color w:val="auto"/>
                <w:sz w:val="24"/>
                <w:szCs w:val="24"/>
              </w:rPr>
            </w:pPr>
            <w:r>
              <w:rPr>
                <w:rFonts w:hint="eastAsia" w:ascii="宋体" w:hAnsi="宋体" w:eastAsia="Arial" w:cs="Courier New"/>
                <w:bCs/>
                <w:color w:val="auto"/>
                <w:sz w:val="24"/>
                <w:szCs w:val="24"/>
              </w:rPr>
              <w:t xml:space="preserve">投标人现场项目实施人员具有系统</w:t>
            </w:r>
            <w:r>
              <w:rPr>
                <w:rFonts w:hint="eastAsia" w:ascii="宋体" w:hAnsi="宋体" w:eastAsia="宋体" w:cs="Courier New"/>
                <w:bCs/>
                <w:color w:val="auto"/>
                <w:sz w:val="24"/>
                <w:szCs w:val="24"/>
              </w:rPr>
              <w:t xml:space="preserve">架构设计</w:t>
            </w:r>
            <w:r>
              <w:rPr>
                <w:rFonts w:hint="eastAsia" w:ascii="宋体" w:hAnsi="宋体" w:eastAsia="Arial" w:cs="Courier New"/>
                <w:bCs/>
                <w:color w:val="auto"/>
                <w:sz w:val="24"/>
                <w:szCs w:val="24"/>
              </w:rPr>
              <w:t xml:space="preserve">师、</w:t>
            </w:r>
            <w:r>
              <w:rPr>
                <w:rFonts w:hint="eastAsia" w:ascii="宋体" w:hAnsi="宋体" w:eastAsia="宋体" w:cs="Courier New"/>
                <w:bCs/>
                <w:color w:val="auto"/>
                <w:sz w:val="24"/>
                <w:szCs w:val="24"/>
              </w:rPr>
              <w:t xml:space="preserve">系统分析师</w:t>
            </w:r>
            <w:r>
              <w:rPr>
                <w:rFonts w:hint="eastAsia" w:ascii="宋体" w:hAnsi="宋体" w:eastAsia="Arial" w:cs="Courier New"/>
                <w:bCs/>
                <w:color w:val="auto"/>
                <w:sz w:val="24"/>
                <w:szCs w:val="24"/>
              </w:rPr>
              <w:t xml:space="preserve">、</w:t>
            </w:r>
            <w:r>
              <w:rPr>
                <w:rFonts w:hint="eastAsia" w:ascii="宋体" w:hAnsi="宋体" w:eastAsia="宋体" w:cs="Courier New"/>
                <w:bCs/>
                <w:color w:val="auto"/>
                <w:sz w:val="24"/>
                <w:szCs w:val="24"/>
              </w:rPr>
              <w:t xml:space="preserve">全国计算机等级考试一级及以上合格证书</w:t>
            </w:r>
            <w:r>
              <w:rPr>
                <w:rFonts w:hint="eastAsia" w:ascii="宋体" w:hAnsi="宋体" w:eastAsia="Arial" w:cs="Courier New"/>
                <w:bCs/>
                <w:color w:val="auto"/>
                <w:sz w:val="24"/>
                <w:szCs w:val="24"/>
              </w:rPr>
              <w:t xml:space="preserve">，每提供一种证书以及</w:t>
            </w:r>
            <w:r>
              <w:rPr>
                <w:rFonts w:hint="eastAsia" w:ascii="宋体" w:hAnsi="宋体" w:cs="Courier New"/>
                <w:bCs/>
                <w:sz w:val="24"/>
              </w:rPr>
              <w:t xml:space="preserve">开标前三个月中任意一个月在本单位缴纳养老保险的证明</w:t>
            </w:r>
            <w:r>
              <w:rPr>
                <w:rFonts w:hint="eastAsia" w:ascii="宋体" w:hAnsi="宋体" w:eastAsia="Arial" w:cs="Courier New"/>
                <w:bCs/>
                <w:color w:val="auto"/>
                <w:sz w:val="24"/>
                <w:szCs w:val="24"/>
              </w:rPr>
              <w:t xml:space="preserve">，得</w:t>
            </w:r>
            <w:r>
              <w:rPr>
                <w:rFonts w:hint="eastAsia" w:ascii="宋体" w:hAnsi="宋体" w:eastAsia="宋体" w:cs="Courier New"/>
                <w:bCs/>
                <w:color w:val="auto"/>
                <w:sz w:val="24"/>
                <w:szCs w:val="24"/>
              </w:rPr>
              <w:t xml:space="preserve">2</w:t>
            </w:r>
            <w:r>
              <w:rPr>
                <w:rFonts w:hint="eastAsia" w:ascii="宋体" w:hAnsi="宋体" w:eastAsia="Arial" w:cs="Courier New"/>
                <w:bCs/>
                <w:color w:val="auto"/>
                <w:sz w:val="24"/>
                <w:szCs w:val="24"/>
              </w:rPr>
              <w:t xml:space="preserve">分，最多得</w:t>
            </w:r>
            <w:r>
              <w:rPr>
                <w:rFonts w:hint="eastAsia" w:ascii="宋体" w:hAnsi="宋体" w:eastAsia="宋体" w:cs="Courier New"/>
                <w:bCs/>
                <w:color w:val="auto"/>
                <w:sz w:val="24"/>
                <w:szCs w:val="24"/>
              </w:rPr>
              <w:t xml:space="preserve">6</w:t>
            </w:r>
            <w:r>
              <w:rPr>
                <w:rFonts w:hint="eastAsia" w:ascii="宋体" w:hAnsi="宋体" w:eastAsia="Arial" w:cs="Courier New"/>
                <w:bCs/>
                <w:color w:val="auto"/>
                <w:sz w:val="24"/>
                <w:szCs w:val="24"/>
              </w:rPr>
              <w:t xml:space="preserve">分；不提供不得分。（同一证书，不能重复得分）</w:t>
            </w:r>
            <w:r/>
          </w:p>
          <w:p>
            <w:pPr>
              <w:ind w:firstLine="480"/>
              <w:rPr>
                <w:rFonts w:ascii="宋体" w:hAnsi="宋体" w:cs="Courier New"/>
                <w:bCs/>
                <w:sz w:val="24"/>
              </w:rPr>
            </w:pPr>
            <w:r>
              <w:rPr>
                <w:rFonts w:hint="eastAsia" w:ascii="宋体" w:hAnsi="宋体" w:cs="Courier New"/>
                <w:bCs/>
                <w:sz w:val="24"/>
              </w:rPr>
              <w:t xml:space="preserve">（投标人提供相应证书原件扫描件及相应人员开标前三个月中任意一个月在本单位缴纳养老保险的证明扫描件加盖投标人公章，未提供或提供不全不得分）；</w:t>
            </w:r>
            <w:r/>
          </w:p>
        </w:tc>
        <w:tc>
          <w:tcPr>
            <w:tcW w:w="915" w:type="dxa"/>
            <w:vAlign w:val="center"/>
            <w:textDirection w:val="lrTb"/>
            <w:noWrap w:val="false"/>
          </w:tcPr>
          <w:p>
            <w:pPr>
              <w:ind w:firstLine="240"/>
              <w:rPr>
                <w:sz w:val="24"/>
              </w:rPr>
            </w:pPr>
            <w:r>
              <w:rPr>
                <w:rFonts w:hint="eastAsia"/>
                <w:sz w:val="24"/>
              </w:rPr>
              <w:t xml:space="preserve">6</w:t>
            </w:r>
            <w:r/>
          </w:p>
        </w:tc>
      </w:tr>
      <w:tr>
        <w:trPr>
          <w:trHeight w:val="567"/>
        </w:trPr>
        <w:tc>
          <w:tcPr>
            <w:tcW w:w="783" w:type="dxa"/>
            <w:vAlign w:val="center"/>
            <w:textDirection w:val="lrTb"/>
            <w:noWrap w:val="false"/>
          </w:tcPr>
          <w:p>
            <w:pPr>
              <w:jc w:val="center"/>
              <w:widowControl/>
              <w:rPr>
                <w:sz w:val="24"/>
                <w:lang w:val="zh-CN"/>
              </w:rPr>
            </w:pPr>
            <w:r>
              <w:rPr>
                <w:rFonts w:hint="eastAsia"/>
                <w:sz w:val="24"/>
                <w:lang w:val="zh-CN"/>
              </w:rPr>
              <w:t xml:space="preserve">5</w:t>
            </w:r>
            <w:r/>
          </w:p>
        </w:tc>
        <w:tc>
          <w:tcPr>
            <w:tcW w:w="1302" w:type="dxa"/>
            <w:vAlign w:val="center"/>
            <w:textDirection w:val="lrTb"/>
            <w:noWrap w:val="false"/>
          </w:tcPr>
          <w:p>
            <w:pPr>
              <w:jc w:val="center"/>
              <w:widowControl/>
              <w:rPr>
                <w:sz w:val="24"/>
                <w:lang w:val="zh-CN"/>
              </w:rPr>
            </w:pPr>
            <w:r>
              <w:rPr>
                <w:rFonts w:hint="eastAsia"/>
                <w:sz w:val="24"/>
                <w:lang w:val="zh-CN"/>
              </w:rPr>
              <w:t xml:space="preserve">技术部分</w:t>
            </w:r>
            <w:r/>
          </w:p>
          <w:p>
            <w:pPr>
              <w:jc w:val="center"/>
              <w:widowControl/>
              <w:rPr>
                <w:sz w:val="24"/>
                <w:lang w:val="zh-CN"/>
              </w:rPr>
            </w:pPr>
            <w:r>
              <w:rPr>
                <w:rFonts w:hint="eastAsia"/>
                <w:sz w:val="24"/>
                <w:lang w:val="zh-CN"/>
              </w:rPr>
              <w:t xml:space="preserve">（</w:t>
            </w:r>
            <w:r>
              <w:rPr>
                <w:rFonts w:hint="eastAsia" w:eastAsia="宋体"/>
                <w:sz w:val="24"/>
              </w:rPr>
              <w:t xml:space="preserve">15</w:t>
            </w:r>
            <w:r>
              <w:rPr>
                <w:rFonts w:hint="eastAsia"/>
                <w:sz w:val="24"/>
                <w:lang w:val="zh-CN"/>
              </w:rPr>
              <w:t xml:space="preserve">分）</w:t>
            </w:r>
            <w:r/>
          </w:p>
        </w:tc>
        <w:tc>
          <w:tcPr>
            <w:tcW w:w="1668" w:type="dxa"/>
            <w:vAlign w:val="center"/>
            <w:textDirection w:val="lrTb"/>
            <w:noWrap w:val="false"/>
          </w:tcPr>
          <w:p>
            <w:pPr>
              <w:jc w:val="center"/>
              <w:widowControl/>
              <w:rPr>
                <w:sz w:val="24"/>
                <w:lang w:val="zh-CN"/>
              </w:rPr>
            </w:pPr>
            <w:r>
              <w:rPr>
                <w:rFonts w:hint="eastAsia"/>
                <w:sz w:val="24"/>
                <w:lang w:val="zh-CN"/>
              </w:rPr>
              <w:t xml:space="preserve">技术方案完整度</w:t>
            </w:r>
            <w:r/>
          </w:p>
          <w:p>
            <w:pPr>
              <w:jc w:val="center"/>
              <w:widowControl/>
              <w:rPr>
                <w:sz w:val="24"/>
                <w:lang w:val="zh-CN"/>
              </w:rPr>
            </w:pPr>
            <w:r>
              <w:rPr>
                <w:rFonts w:hint="eastAsia"/>
                <w:sz w:val="24"/>
                <w:lang w:val="zh-CN"/>
              </w:rPr>
              <w:t xml:space="preserve">（</w:t>
            </w:r>
            <w:r>
              <w:rPr>
                <w:rFonts w:hint="eastAsia" w:eastAsia="宋体"/>
                <w:sz w:val="24"/>
              </w:rPr>
              <w:t xml:space="preserve">15</w:t>
            </w:r>
            <w:r>
              <w:rPr>
                <w:rFonts w:hint="eastAsia"/>
                <w:sz w:val="24"/>
                <w:lang w:val="zh-CN"/>
              </w:rPr>
              <w:t xml:space="preserve">分）</w:t>
            </w:r>
            <w:r/>
          </w:p>
        </w:tc>
        <w:tc>
          <w:tcPr>
            <w:tcW w:w="4970" w:type="dxa"/>
            <w:vAlign w:val="center"/>
            <w:textDirection w:val="lrTb"/>
            <w:noWrap w:val="false"/>
          </w:tcPr>
          <w:p>
            <w:pPr>
              <w:ind w:firstLine="480"/>
              <w:rPr>
                <w:rFonts w:ascii="宋体" w:hAnsi="宋体" w:cs="Courier New"/>
                <w:bCs/>
                <w:sz w:val="24"/>
              </w:rPr>
            </w:pPr>
            <w:r>
              <w:rPr>
                <w:rFonts w:hint="eastAsia" w:ascii="宋体" w:hAnsi="宋体" w:cs="Courier New"/>
                <w:bCs/>
                <w:sz w:val="24"/>
              </w:rPr>
              <w:t xml:space="preserve">1、投标人针对项目提供总体技术方案，（</w:t>
            </w:r>
            <w:r>
              <w:rPr>
                <w:rFonts w:hint="eastAsia" w:ascii="宋体" w:hAnsi="宋体" w:cs="Courier New"/>
                <w:bCs/>
                <w:sz w:val="24"/>
                <w:lang w:val="en-US" w:eastAsia="zh-CN"/>
              </w:rPr>
              <w:t xml:space="preserve">至少包含</w:t>
            </w:r>
            <w:r>
              <w:rPr>
                <w:rFonts w:hint="eastAsia" w:ascii="宋体" w:hAnsi="宋体" w:cs="Courier New"/>
                <w:bCs/>
                <w:sz w:val="24"/>
              </w:rPr>
              <w:t xml:space="preserve">：①建设背景、必要性等建设依据分析；②项目建设现状及需求分析；③针对本项目清晰阐述容灾备份的总体架构设计；④基于新警综平台容灾网络拓扑设计⑤数据迁移整体思路设计）</w:t>
            </w:r>
            <w:r/>
          </w:p>
          <w:p>
            <w:pPr>
              <w:rPr>
                <w:rFonts w:ascii="宋体" w:hAnsi="宋体" w:cs="Courier New"/>
                <w:bCs/>
                <w:sz w:val="24"/>
              </w:rPr>
            </w:pPr>
            <w:r>
              <w:rPr>
                <w:rFonts w:hint="eastAsia" w:ascii="宋体" w:hAnsi="宋体" w:cs="Courier New"/>
                <w:bCs/>
                <w:sz w:val="24"/>
              </w:rPr>
              <w:t xml:space="preserve">方案内容满足以上要求且总体设计方案的设计思路和可实现性符合需求，各要点描述准确清晰，提出的技术服务方案能够实现和新警综平台兼容，贴合本项目实际需求且方案科学合理、能够实现数据库及文件在线不停机迁移的得</w:t>
            </w:r>
            <w:r>
              <w:rPr>
                <w:rFonts w:hint="eastAsia" w:ascii="宋体" w:hAnsi="宋体" w:eastAsia="宋体" w:cs="Courier New"/>
                <w:bCs/>
                <w:sz w:val="24"/>
              </w:rPr>
              <w:t xml:space="preserve">5</w:t>
            </w:r>
            <w:r>
              <w:rPr>
                <w:rFonts w:hint="eastAsia" w:ascii="宋体" w:hAnsi="宋体" w:cs="Courier New"/>
                <w:bCs/>
                <w:sz w:val="24"/>
              </w:rPr>
              <w:t xml:space="preserve">分，每缺少一项内容，或内容明显错误，或内容非专门针对本项目，或内容不能满足本项目实际需求的，每一项扣</w:t>
            </w:r>
            <w:r>
              <w:rPr>
                <w:rFonts w:hint="eastAsia" w:ascii="宋体" w:hAnsi="宋体" w:eastAsia="宋体" w:cs="Courier New"/>
                <w:bCs/>
                <w:sz w:val="24"/>
              </w:rPr>
              <w:t xml:space="preserve">1</w:t>
            </w:r>
            <w:r>
              <w:rPr>
                <w:rFonts w:hint="eastAsia" w:ascii="宋体" w:hAnsi="宋体" w:cs="Courier New"/>
                <w:bCs/>
                <w:sz w:val="24"/>
              </w:rPr>
              <w:t xml:space="preserve">分，扣完</w:t>
            </w:r>
            <w:r>
              <w:rPr>
                <w:rFonts w:hint="eastAsia" w:ascii="宋体" w:hAnsi="宋体" w:eastAsia="宋体" w:cs="Courier New"/>
                <w:bCs/>
                <w:sz w:val="24"/>
              </w:rPr>
              <w:t xml:space="preserve">5</w:t>
            </w:r>
            <w:r>
              <w:rPr>
                <w:rFonts w:hint="eastAsia" w:ascii="宋体" w:hAnsi="宋体" w:cs="Courier New"/>
                <w:bCs/>
                <w:sz w:val="24"/>
              </w:rPr>
              <w:t xml:space="preserve">分为止（即：得0分），不提供不得分；</w:t>
            </w:r>
            <w:r/>
          </w:p>
          <w:p>
            <w:pPr>
              <w:ind w:firstLine="480"/>
              <w:rPr>
                <w:rFonts w:ascii="宋体" w:hAnsi="宋体" w:cs="Courier New"/>
                <w:bCs/>
                <w:sz w:val="24"/>
              </w:rPr>
            </w:pPr>
            <w:r>
              <w:rPr>
                <w:rFonts w:hint="eastAsia" w:ascii="宋体" w:hAnsi="宋体" w:cs="Courier New"/>
                <w:bCs/>
                <w:sz w:val="24"/>
              </w:rPr>
              <w:t xml:space="preserve">2、投标人根据项目的整体要求，编写合理的实施方案，根据实施方案内容的合理性、准确性及详细程度进行评分：</w:t>
            </w:r>
            <w:r/>
          </w:p>
          <w:p>
            <w:pPr>
              <w:rPr>
                <w:rFonts w:ascii="宋体" w:hAnsi="宋体" w:cs="Courier New"/>
                <w:bCs/>
                <w:sz w:val="24"/>
                <w:highlight w:val="none"/>
              </w:rPr>
            </w:pPr>
            <w:r>
              <w:rPr>
                <w:rFonts w:hint="eastAsia" w:ascii="宋体" w:hAnsi="宋体" w:cs="Courier New"/>
                <w:bCs/>
                <w:sz w:val="24"/>
              </w:rPr>
              <w:t xml:space="preserve">（</w:t>
            </w:r>
            <w:r>
              <w:rPr>
                <w:rFonts w:hint="eastAsia" w:ascii="宋体" w:hAnsi="宋体" w:cs="Courier New"/>
                <w:bCs/>
                <w:sz w:val="24"/>
                <w:lang w:val="en-US" w:eastAsia="zh-CN"/>
              </w:rPr>
              <w:t xml:space="preserve">至少包含</w:t>
            </w:r>
            <w:r>
              <w:rPr>
                <w:rFonts w:hint="eastAsia" w:ascii="宋体" w:hAnsi="宋体" w:cs="Courier New"/>
                <w:bCs/>
                <w:sz w:val="24"/>
              </w:rPr>
              <w:t xml:space="preserve">：①人员配置不少于5人且分工明确②</w:t>
            </w:r>
            <w:r>
              <w:rPr>
                <w:rFonts w:hint="eastAsia" w:ascii="宋体" w:hAnsi="宋体" w:cs="Courier New"/>
                <w:bCs/>
                <w:sz w:val="24"/>
                <w:highlight w:val="none"/>
              </w:rPr>
              <w:t xml:space="preserve">驻公安网人员须具备数据库相关证书③实施过程中安全保障措施④提供具体项目工期规划</w:t>
            </w:r>
            <w:r>
              <w:rPr>
                <w:rFonts w:hint="eastAsia" w:ascii="宋体" w:hAnsi="宋体" w:cs="Courier New"/>
                <w:bCs/>
                <w:sz w:val="24"/>
                <w:highlight w:val="none"/>
              </w:rPr>
              <w:t xml:space="preserve">⑤提供质量保障及保密措施等方面内容）</w:t>
            </w:r>
            <w:r>
              <w:rPr>
                <w:highlight w:val="none"/>
              </w:rPr>
            </w:r>
            <w:r/>
          </w:p>
          <w:p>
            <w:pPr>
              <w:rPr>
                <w:rFonts w:ascii="宋体" w:hAnsi="宋体" w:cs="Courier New"/>
                <w:bCs/>
                <w:sz w:val="24"/>
              </w:rPr>
            </w:pPr>
            <w:r>
              <w:rPr>
                <w:rFonts w:hint="eastAsia" w:ascii="宋体" w:hAnsi="宋体" w:cs="Courier New"/>
                <w:bCs/>
                <w:sz w:val="24"/>
              </w:rPr>
              <w:t xml:space="preserve">方案内容满足以上要求且人员分工合理，驻公安网人员经验丰富，在迁移过程中数据的完整性、一致性和安全性得到保持，避免数据丢失或损坏，有针对性的保障措施，实施计划和进度安排合理，质量控制、应急预案完善，符合本项目实际需求的，得</w:t>
            </w:r>
            <w:r>
              <w:rPr>
                <w:rFonts w:hint="eastAsia" w:ascii="宋体" w:hAnsi="宋体" w:eastAsia="宋体" w:cs="Courier New"/>
                <w:bCs/>
                <w:sz w:val="24"/>
              </w:rPr>
              <w:t xml:space="preserve">5</w:t>
            </w:r>
            <w:r>
              <w:rPr>
                <w:rFonts w:hint="eastAsia" w:ascii="宋体" w:hAnsi="宋体" w:cs="Courier New"/>
                <w:bCs/>
                <w:sz w:val="24"/>
              </w:rPr>
              <w:t xml:space="preserve">分，每缺少一项内容，或内容明显错误，或内容非专门针对本项目，或内容不能满足本项目实际需求的，每一项扣</w:t>
            </w:r>
            <w:r>
              <w:rPr>
                <w:rFonts w:hint="eastAsia" w:ascii="宋体" w:hAnsi="宋体" w:eastAsia="宋体" w:cs="Courier New"/>
                <w:bCs/>
                <w:sz w:val="24"/>
              </w:rPr>
              <w:t xml:space="preserve">1</w:t>
            </w:r>
            <w:r>
              <w:rPr>
                <w:rFonts w:hint="eastAsia" w:ascii="宋体" w:hAnsi="宋体" w:cs="Courier New"/>
                <w:bCs/>
                <w:sz w:val="24"/>
              </w:rPr>
              <w:t xml:space="preserve">分，扣完</w:t>
            </w:r>
            <w:r>
              <w:rPr>
                <w:rFonts w:hint="eastAsia" w:ascii="宋体" w:hAnsi="宋体" w:eastAsia="宋体" w:cs="Courier New"/>
                <w:bCs/>
                <w:sz w:val="24"/>
              </w:rPr>
              <w:t xml:space="preserve">5</w:t>
            </w:r>
            <w:r>
              <w:rPr>
                <w:rFonts w:hint="eastAsia" w:ascii="宋体" w:hAnsi="宋体" w:cs="Courier New"/>
                <w:bCs/>
                <w:sz w:val="24"/>
              </w:rPr>
              <w:t xml:space="preserve">分为止，不提供不得分。</w:t>
            </w:r>
            <w:r/>
          </w:p>
          <w:p>
            <w:pPr>
              <w:ind w:firstLine="480"/>
              <w:rPr>
                <w:rFonts w:ascii="宋体" w:hAnsi="宋体" w:cs="Courier New"/>
                <w:bCs/>
                <w:sz w:val="24"/>
              </w:rPr>
            </w:pPr>
            <w:r>
              <w:rPr>
                <w:rFonts w:hint="eastAsia" w:ascii="宋体" w:hAnsi="宋体" w:cs="Courier New"/>
                <w:bCs/>
                <w:sz w:val="24"/>
              </w:rPr>
              <w:t xml:space="preserve">3、投标人根据项目的整体要求，提供详细的培训方案（</w:t>
            </w:r>
            <w:r>
              <w:rPr>
                <w:rFonts w:hint="eastAsia" w:ascii="宋体" w:hAnsi="宋体" w:cs="Courier New"/>
                <w:bCs/>
                <w:sz w:val="24"/>
                <w:lang w:val="en-US" w:eastAsia="zh-CN"/>
              </w:rPr>
              <w:t xml:space="preserve">至少包含</w:t>
            </w:r>
            <w:r>
              <w:rPr>
                <w:rFonts w:hint="eastAsia" w:ascii="宋体" w:hAnsi="宋体" w:cs="Courier New"/>
                <w:bCs/>
                <w:sz w:val="24"/>
              </w:rPr>
              <w:t xml:space="preserve">①</w:t>
            </w:r>
            <w:r>
              <w:rPr>
                <w:rFonts w:hint="eastAsia" w:ascii="宋体" w:hAnsi="宋体" w:eastAsia="宋体" w:cs="Courier New"/>
                <w:bCs/>
                <w:sz w:val="24"/>
              </w:rPr>
              <w:t xml:space="preserve">培训质量</w:t>
            </w:r>
            <w:r>
              <w:rPr>
                <w:rFonts w:hint="eastAsia" w:ascii="宋体" w:hAnsi="宋体" w:cs="Courier New"/>
                <w:bCs/>
                <w:sz w:val="24"/>
              </w:rPr>
              <w:t xml:space="preserve">②培训目标③培训对象④培训方法⑤时间安排</w:t>
            </w:r>
            <w:r/>
          </w:p>
          <w:p>
            <w:pPr>
              <w:rPr>
                <w:sz w:val="24"/>
                <w:szCs w:val="20"/>
              </w:rPr>
            </w:pPr>
            <w:r>
              <w:rPr>
                <w:rFonts w:hint="eastAsia" w:ascii="宋体" w:hAnsi="宋体" w:cs="Courier New"/>
                <w:bCs/>
                <w:sz w:val="24"/>
              </w:rPr>
              <w:t xml:space="preserve">方案内容满足以上要求且能确保培训质量，包括演示教学、学员动手实操，培训考核，提供的培训内容全面，培训资料完整、实用，得</w:t>
            </w:r>
            <w:r>
              <w:rPr>
                <w:rFonts w:hint="eastAsia" w:ascii="宋体" w:hAnsi="宋体" w:eastAsia="宋体" w:cs="Courier New"/>
                <w:bCs/>
                <w:sz w:val="24"/>
              </w:rPr>
              <w:t xml:space="preserve">5</w:t>
            </w:r>
            <w:r>
              <w:rPr>
                <w:rFonts w:hint="eastAsia" w:ascii="宋体" w:hAnsi="宋体" w:cs="Courier New"/>
                <w:bCs/>
                <w:sz w:val="24"/>
              </w:rPr>
              <w:t xml:space="preserve">分；每缺少一项内容，或内容明显错误，或内容非专门针对本项目，或内容不能满足本项目实际需求的，每一项扣</w:t>
            </w:r>
            <w:r>
              <w:rPr>
                <w:rFonts w:hint="eastAsia" w:ascii="宋体" w:hAnsi="宋体" w:eastAsia="宋体" w:cs="Courier New"/>
                <w:bCs/>
                <w:sz w:val="24"/>
              </w:rPr>
              <w:t xml:space="preserve">1</w:t>
            </w:r>
            <w:r>
              <w:rPr>
                <w:rFonts w:hint="eastAsia" w:ascii="宋体" w:hAnsi="宋体" w:cs="Courier New"/>
                <w:bCs/>
                <w:sz w:val="24"/>
              </w:rPr>
              <w:t xml:space="preserve">分，扣完</w:t>
            </w:r>
            <w:r>
              <w:rPr>
                <w:rFonts w:hint="eastAsia" w:ascii="宋体" w:hAnsi="宋体" w:eastAsia="宋体" w:cs="Courier New"/>
                <w:bCs/>
                <w:sz w:val="24"/>
              </w:rPr>
              <w:t xml:space="preserve">5</w:t>
            </w:r>
            <w:r>
              <w:rPr>
                <w:rFonts w:hint="eastAsia" w:ascii="宋体" w:hAnsi="宋体" w:cs="Courier New"/>
                <w:bCs/>
                <w:sz w:val="24"/>
              </w:rPr>
              <w:t xml:space="preserve">分为止，不提供不得分。</w:t>
            </w:r>
            <w:r/>
          </w:p>
        </w:tc>
        <w:tc>
          <w:tcPr>
            <w:tcW w:w="915" w:type="dxa"/>
            <w:vAlign w:val="center"/>
            <w:textDirection w:val="lrTb"/>
            <w:noWrap w:val="false"/>
          </w:tcPr>
          <w:p>
            <w:pPr>
              <w:ind w:firstLine="240"/>
              <w:rPr>
                <w:rFonts w:eastAsia="宋体"/>
                <w:sz w:val="24"/>
              </w:rPr>
            </w:pPr>
            <w:r>
              <w:rPr>
                <w:rFonts w:hint="eastAsia" w:eastAsia="宋体"/>
                <w:sz w:val="24"/>
              </w:rPr>
              <w:t xml:space="preserve">15</w:t>
            </w:r>
            <w:r/>
          </w:p>
        </w:tc>
      </w:tr>
      <w:tr>
        <w:trPr>
          <w:trHeight w:val="567"/>
        </w:trPr>
        <w:tc>
          <w:tcPr>
            <w:tcW w:w="783" w:type="dxa"/>
            <w:vAlign w:val="center"/>
            <w:textDirection w:val="lrTb"/>
            <w:noWrap w:val="false"/>
          </w:tcPr>
          <w:p>
            <w:pPr>
              <w:jc w:val="center"/>
              <w:widowControl/>
              <w:rPr>
                <w:sz w:val="24"/>
                <w:lang w:val="zh-CN"/>
              </w:rPr>
            </w:pPr>
            <w:r>
              <w:rPr>
                <w:rFonts w:hint="eastAsia"/>
                <w:sz w:val="24"/>
                <w:lang w:val="zh-CN"/>
              </w:rPr>
              <w:t xml:space="preserve">6</w:t>
            </w:r>
            <w:r/>
          </w:p>
        </w:tc>
        <w:tc>
          <w:tcPr>
            <w:gridSpan w:val="2"/>
            <w:tcW w:w="2970" w:type="dxa"/>
            <w:vAlign w:val="center"/>
            <w:textDirection w:val="lrTb"/>
            <w:noWrap w:val="false"/>
          </w:tcPr>
          <w:p>
            <w:pPr>
              <w:jc w:val="center"/>
              <w:widowControl/>
              <w:rPr>
                <w:rFonts w:eastAsia="宋体"/>
                <w:sz w:val="24"/>
              </w:rPr>
            </w:pPr>
            <w:r>
              <w:rPr>
                <w:rFonts w:hint="eastAsia"/>
                <w:sz w:val="24"/>
              </w:rPr>
              <w:t xml:space="preserve">售后服务（</w:t>
            </w:r>
            <w:r>
              <w:rPr>
                <w:rFonts w:hint="eastAsia" w:eastAsia="宋体"/>
                <w:sz w:val="24"/>
                <w:lang w:val="en-US" w:eastAsia="zh-CN"/>
              </w:rPr>
              <w:t xml:space="preserve">15</w:t>
            </w:r>
            <w:r>
              <w:rPr>
                <w:rFonts w:hint="eastAsia"/>
                <w:sz w:val="24"/>
              </w:rPr>
              <w:t xml:space="preserve">分）</w:t>
            </w:r>
            <w:r/>
          </w:p>
        </w:tc>
        <w:tc>
          <w:tcPr>
            <w:tcW w:w="4970" w:type="dxa"/>
            <w:vAlign w:val="center"/>
            <w:textDirection w:val="lrTb"/>
            <w:noWrap w:val="false"/>
          </w:tcPr>
          <w:p>
            <w:pPr>
              <w:ind w:firstLine="480"/>
              <w:widowControl/>
              <w:rPr>
                <w:sz w:val="24"/>
                <w:szCs w:val="20"/>
              </w:rPr>
            </w:pPr>
            <w:r>
              <w:rPr>
                <w:rFonts w:hint="eastAsia"/>
                <w:sz w:val="24"/>
                <w:szCs w:val="20"/>
              </w:rPr>
              <w:t xml:space="preserve">1、制定详细的售后服务方案（</w:t>
            </w:r>
            <w:r>
              <w:rPr>
                <w:rFonts w:hint="eastAsia" w:eastAsia="宋体"/>
                <w:sz w:val="24"/>
                <w:szCs w:val="20"/>
              </w:rPr>
              <w:t xml:space="preserve">5</w:t>
            </w:r>
            <w:r>
              <w:rPr>
                <w:rFonts w:hint="eastAsia"/>
                <w:sz w:val="24"/>
                <w:szCs w:val="20"/>
              </w:rPr>
              <w:t xml:space="preserve">分）</w:t>
            </w:r>
            <w:r/>
          </w:p>
          <w:p>
            <w:pPr>
              <w:ind w:firstLine="480"/>
              <w:widowControl/>
              <w:rPr>
                <w:sz w:val="24"/>
                <w:szCs w:val="20"/>
              </w:rPr>
            </w:pPr>
            <w:r>
              <w:rPr>
                <w:rFonts w:hint="eastAsia"/>
                <w:sz w:val="24"/>
                <w:szCs w:val="20"/>
                <w:lang w:val="en-US" w:eastAsia="zh-CN"/>
              </w:rPr>
              <w:t xml:space="preserve">至少包含</w:t>
            </w:r>
            <w:r>
              <w:rPr>
                <w:rFonts w:hint="eastAsia"/>
                <w:sz w:val="24"/>
                <w:szCs w:val="20"/>
              </w:rPr>
              <w:t xml:space="preserve">：①日常服务内容②服务期限及服务方式③故障应急响应机制及响应时间④日常容灾数据管理与优化⑤安全与合规服务</w:t>
            </w:r>
            <w:r/>
          </w:p>
          <w:p>
            <w:pPr>
              <w:ind w:firstLine="480"/>
              <w:widowControl/>
              <w:rPr>
                <w:sz w:val="24"/>
                <w:szCs w:val="20"/>
                <w:highlight w:val="none"/>
              </w:rPr>
            </w:pPr>
            <w:r>
              <w:rPr>
                <w:rFonts w:hint="eastAsia"/>
                <w:sz w:val="24"/>
                <w:szCs w:val="20"/>
              </w:rPr>
              <w:t xml:space="preserve">方案内容满足以上五项要求且方案内容表述清晰、详细，服务承诺详细、具体，故障响应及时能满足要求的，符合本项目实际需求的，得5分，每缺少一项内容，或内容明显错误，或内容非专门针对本项目，或内容不</w:t>
            </w:r>
            <w:r>
              <w:rPr>
                <w:rFonts w:hint="eastAsia"/>
                <w:sz w:val="24"/>
                <w:szCs w:val="20"/>
                <w:highlight w:val="none"/>
              </w:rPr>
              <w:t xml:space="preserve">能满足本项目实际需求的，每一项扣</w:t>
            </w:r>
            <w:r>
              <w:rPr>
                <w:rFonts w:hint="eastAsia" w:eastAsia="宋体"/>
                <w:sz w:val="24"/>
                <w:szCs w:val="20"/>
                <w:highlight w:val="none"/>
              </w:rPr>
              <w:t xml:space="preserve">1</w:t>
            </w:r>
            <w:r>
              <w:rPr>
                <w:rFonts w:hint="eastAsia"/>
                <w:sz w:val="24"/>
                <w:szCs w:val="20"/>
                <w:highlight w:val="none"/>
              </w:rPr>
              <w:t xml:space="preserve">分，扣完5分为止，不提供不得分。</w:t>
            </w:r>
            <w:r>
              <w:rPr>
                <w:highlight w:val="none"/>
              </w:rPr>
            </w:r>
            <w:r/>
          </w:p>
          <w:p>
            <w:pPr>
              <w:ind w:firstLine="480"/>
              <w:widowControl/>
              <w:rPr>
                <w:sz w:val="24"/>
                <w:szCs w:val="20"/>
              </w:rPr>
            </w:pPr>
            <w:r>
              <w:rPr>
                <w:rFonts w:hint="eastAsia" w:ascii="宋体" w:hAnsi="宋体" w:cs="Courier New"/>
                <w:bCs/>
                <w:sz w:val="24"/>
                <w:highlight w:val="none"/>
              </w:rPr>
              <w:t xml:space="preserve">2、</w:t>
            </w:r>
            <w:r>
              <w:rPr>
                <w:rFonts w:hint="eastAsia" w:ascii="宋体" w:hAnsi="宋体" w:eastAsia="宋体" w:cs="宋体"/>
                <w:sz w:val="24"/>
                <w:highlight w:val="none"/>
              </w:rPr>
              <w:t xml:space="preserve">提供在江苏省内公安网1年驻场运维服务</w:t>
            </w:r>
            <w:r>
              <w:rPr>
                <w:rFonts w:hint="eastAsia" w:ascii="宋体" w:hAnsi="宋体" w:cs="Courier New"/>
                <w:bCs/>
                <w:sz w:val="24"/>
                <w:highlight w:val="none"/>
              </w:rPr>
              <w:t xml:space="preserve">，每提供1人得</w:t>
            </w:r>
            <w:r>
              <w:rPr>
                <w:rFonts w:hint="eastAsia" w:ascii="宋体" w:hAnsi="宋体" w:cs="Courier New"/>
                <w:bCs/>
                <w:sz w:val="24"/>
                <w:highlight w:val="none"/>
                <w:lang w:val="en-US" w:eastAsia="zh-CN"/>
              </w:rPr>
              <w:t xml:space="preserve">5</w:t>
            </w:r>
            <w:r>
              <w:rPr>
                <w:rFonts w:hint="eastAsia" w:ascii="宋体" w:hAnsi="宋体" w:cs="Courier New"/>
                <w:bCs/>
                <w:sz w:val="24"/>
                <w:highlight w:val="none"/>
              </w:rPr>
              <w:t xml:space="preserve">分，最高得</w:t>
            </w:r>
            <w:r>
              <w:rPr>
                <w:rFonts w:hint="eastAsia" w:ascii="宋体" w:hAnsi="宋体" w:cs="Courier New"/>
                <w:bCs/>
                <w:sz w:val="24"/>
                <w:highlight w:val="none"/>
                <w:lang w:val="en-US" w:eastAsia="zh-CN"/>
              </w:rPr>
              <w:t xml:space="preserve">10</w:t>
            </w:r>
            <w:r>
              <w:rPr>
                <w:rFonts w:hint="eastAsia" w:ascii="宋体" w:hAnsi="宋体" w:cs="Courier New"/>
                <w:bCs/>
                <w:sz w:val="24"/>
                <w:highlight w:val="none"/>
              </w:rPr>
              <w:t xml:space="preserve">分，提供承诺函并加盖投</w:t>
            </w:r>
            <w:r>
              <w:rPr>
                <w:rFonts w:hint="eastAsia" w:ascii="宋体" w:hAnsi="宋体" w:cs="Courier New"/>
                <w:bCs/>
                <w:sz w:val="24"/>
                <w:highlight w:val="none"/>
              </w:rPr>
              <w:t xml:space="preserve">标人公章。</w:t>
            </w:r>
            <w:r/>
          </w:p>
        </w:tc>
        <w:tc>
          <w:tcPr>
            <w:tcW w:w="915" w:type="dxa"/>
            <w:vAlign w:val="center"/>
            <w:textDirection w:val="lrTb"/>
            <w:noWrap w:val="false"/>
          </w:tcPr>
          <w:p>
            <w:pPr>
              <w:ind w:firstLine="240"/>
              <w:rPr>
                <w:rFonts w:hint="default" w:eastAsia="宋体"/>
                <w:sz w:val="24"/>
                <w:lang w:val="en-US" w:eastAsia="zh-CN"/>
              </w:rPr>
            </w:pPr>
            <w:r>
              <w:rPr>
                <w:rFonts w:hint="eastAsia" w:eastAsia="宋体"/>
                <w:sz w:val="24"/>
                <w:lang w:val="en-US" w:eastAsia="zh-CN"/>
              </w:rPr>
              <w:t xml:space="preserve">15</w:t>
            </w:r>
            <w:r/>
          </w:p>
        </w:tc>
      </w:tr>
    </w:tbl>
    <w:p>
      <w:pPr>
        <w:rPr>
          <w:rFonts w:ascii="黑体" w:hAnsi="黑体" w:eastAsia="黑体" w:cs="黑体"/>
          <w:sz w:val="44"/>
          <w:szCs w:val="44"/>
        </w:rPr>
      </w:pPr>
      <w:r>
        <w:rPr>
          <w:rFonts w:ascii="黑体" w:hAnsi="黑体" w:eastAsia="黑体" w:cs="黑体"/>
          <w:sz w:val="44"/>
          <w:szCs w:val="44"/>
        </w:rPr>
      </w:r>
      <w:r/>
    </w:p>
    <w:p>
      <w:pPr>
        <w:rPr>
          <w:rFonts w:ascii="黑体" w:hAnsi="黑体" w:eastAsia="黑体" w:cs="黑体"/>
          <w:sz w:val="44"/>
          <w:szCs w:val="44"/>
        </w:rPr>
      </w:pPr>
      <w:r>
        <w:rPr>
          <w:rFonts w:hint="eastAsia" w:ascii="黑体" w:hAnsi="黑体" w:eastAsia="黑体" w:cs="黑体"/>
          <w:sz w:val="44"/>
          <w:szCs w:val="44"/>
        </w:rPr>
        <w:br w:type="page" w:clear="all"/>
      </w:r>
      <w:r/>
    </w:p>
    <w:p>
      <w:pPr>
        <w:jc w:val="center"/>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sz w:val="44"/>
          <w:szCs w:val="44"/>
        </w:rPr>
      </w:r>
      <w:r/>
    </w:p>
    <w:p>
      <w:pPr>
        <w:jc w:val="center"/>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ascii="黑体" w:hAnsi="黑体" w:eastAsia="黑体" w:cs="黑体"/>
          <w:sz w:val="44"/>
          <w:szCs w:val="44"/>
        </w:rPr>
      </w:r>
      <w:r/>
    </w:p>
    <w:p>
      <w:pPr>
        <w:jc w:val="center"/>
        <w:widowControl/>
        <w:rPr>
          <w:rFonts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44"/>
        </w:rPr>
        <w:t xml:space="preserve">第六章  </w:t>
      </w:r>
      <w:bookmarkEnd w:id="118"/>
      <w:r>
        <w:rPr>
          <w:rFonts w:hint="eastAsia" w:ascii="黑体" w:hAnsi="黑体" w:eastAsia="黑体" w:cs="黑体"/>
          <w:sz w:val="44"/>
          <w:szCs w:val="44"/>
        </w:rPr>
        <w:t xml:space="preserve">投标文件格式 </w:t>
      </w:r>
      <w:r>
        <w:rPr>
          <w:rFonts w:hint="eastAsia" w:ascii="方正小标宋_GBK" w:eastAsia="方正小标宋_GBK" w:cs="宋体" w:hAnsiTheme="minorEastAsia"/>
          <w:sz w:val="44"/>
          <w:szCs w:val="44"/>
        </w:rPr>
        <w:t xml:space="preserve"> </w:t>
      </w:r>
      <w:r/>
    </w:p>
    <w:p>
      <w:pPr>
        <w:ind w:firstLine="1446"/>
        <w:widowControl/>
        <w:rPr>
          <w:rFonts w:cs="Times New Roman" w:asciiTheme="minorEastAsia" w:hAnsiTheme="minorEastAsia"/>
          <w:b/>
          <w:sz w:val="72"/>
          <w:szCs w:val="72"/>
        </w:rPr>
      </w:pPr>
      <w:r/>
      <w:bookmarkStart w:id="119" w:name="_Toc49090576"/>
      <w:r/>
      <w:bookmarkEnd w:id="119"/>
      <w:r/>
      <w:bookmarkStart w:id="120" w:name="_Toc120614282"/>
      <w:r/>
      <w:bookmarkEnd w:id="120"/>
      <w:r/>
      <w:bookmarkStart w:id="121" w:name="_Hlt26671244"/>
      <w:r/>
      <w:bookmarkStart w:id="122" w:name="_Toc26554094"/>
      <w:r/>
      <w:bookmarkStart w:id="123" w:name="_Hlt26955039"/>
      <w:r/>
      <w:r/>
    </w:p>
    <w:p>
      <w:pPr>
        <w:ind w:firstLine="1446"/>
        <w:widowControl/>
        <w:rPr>
          <w:rFonts w:cs="Times New Roman" w:asciiTheme="minorEastAsia" w:hAnsiTheme="minorEastAsia"/>
          <w:b/>
          <w:sz w:val="72"/>
          <w:szCs w:val="72"/>
        </w:rPr>
      </w:pPr>
      <w:r>
        <w:rPr>
          <w:rFonts w:cs="Times New Roman" w:asciiTheme="minorEastAsia" w:hAnsiTheme="minorEastAsia"/>
          <w:b/>
          <w:sz w:val="72"/>
          <w:szCs w:val="72"/>
        </w:rPr>
      </w:r>
      <w:r/>
    </w:p>
    <w:p>
      <w:pPr>
        <w:jc w:val="center"/>
        <w:widowControl/>
        <w:rPr>
          <w:rFonts w:ascii="方正小标宋_GBK" w:eastAsia="方正小标宋_GBK" w:cs="Times New Roman" w:hAnsiTheme="minorEastAsia"/>
          <w:bCs/>
          <w:sz w:val="84"/>
          <w:szCs w:val="84"/>
        </w:rPr>
      </w:pPr>
      <w:r>
        <w:rPr>
          <w:rFonts w:hint="eastAsia" w:ascii="方正小标宋_GBK" w:eastAsia="方正小标宋_GBK" w:cs="Times New Roman" w:hAnsiTheme="minorEastAsia"/>
          <w:bCs/>
          <w:sz w:val="84"/>
          <w:szCs w:val="84"/>
        </w:rPr>
        <w:t xml:space="preserve">投 标 文 件</w:t>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1134"/>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widowControl/>
        <w:rPr>
          <w:rFonts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widowControl/>
        <w:rPr>
          <w:rFonts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pStyle w:val="984"/>
        <w:jc w:val="both"/>
        <w:spacing w:before="0" w:after="0"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p>
      <w:pPr>
        <w:pStyle w:val="984"/>
        <w:jc w:val="both"/>
        <w:spacing w:before="0" w:after="0"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p>
      <w:pPr>
        <w:pStyle w:val="996"/>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996"/>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jc w:val="left"/>
        <w:widowControl/>
        <w:rPr>
          <w:rFonts w:cs="Times New Roman" w:asciiTheme="minorEastAsia" w:hAnsiTheme="minorEastAsia"/>
          <w:b/>
          <w:bCs/>
          <w:sz w:val="36"/>
          <w:szCs w:val="36"/>
        </w:rPr>
      </w:pPr>
      <w:r>
        <w:rPr>
          <w:rFonts w:cs="Times New Roman" w:asciiTheme="minorEastAsia" w:hAnsiTheme="minorEastAsia"/>
          <w:b/>
          <w:bCs/>
          <w:sz w:val="36"/>
          <w:szCs w:val="36"/>
        </w:rPr>
        <w:br w:type="page" w:clear="all"/>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二、上一年度的财务状况报告（至少提供资产负债表、利润表、现金流量表，投标人成立不满一年无需提供）</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十一、投标分项报价表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十二、</w:t>
      </w:r>
      <w:bookmarkStart w:id="124" w:name="OLE_LINK24"/>
      <w:r/>
      <w:bookmarkStart w:id="125" w:name="OLE_LINK23"/>
      <w:r>
        <w:rPr>
          <w:rFonts w:hint="eastAsia" w:asciiTheme="minorEastAsia" w:hAnsiTheme="minorEastAsia" w:cstheme="minorEastAsia"/>
          <w:sz w:val="24"/>
        </w:rPr>
        <w:t xml:space="preserve">技术要求响应及偏离表</w:t>
      </w:r>
      <w:bookmarkEnd w:id="124"/>
      <w:r/>
      <w:bookmarkEnd w:id="125"/>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十三、</w:t>
      </w:r>
      <w:bookmarkStart w:id="126" w:name="OLE_LINK22"/>
      <w:r/>
      <w:bookmarkStart w:id="127" w:name="OLE_LINK21"/>
      <w:r>
        <w:rPr>
          <w:rFonts w:hint="eastAsia" w:asciiTheme="minorEastAsia" w:hAnsiTheme="minorEastAsia" w:cstheme="minorEastAsia"/>
          <w:sz w:val="24"/>
        </w:rPr>
        <w:t xml:space="preserve">商务要求响应及偏离表</w:t>
      </w:r>
      <w:bookmarkEnd w:id="126"/>
      <w:r/>
      <w:bookmarkEnd w:id="127"/>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十四、开标一览表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十五、服务方案等</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十六、盐城市政府采购事前信用承诺书</w:t>
      </w:r>
      <w:r/>
    </w:p>
    <w:p>
      <w:pPr>
        <w:ind w:firstLine="640"/>
        <w:widowControl/>
        <w:rPr>
          <w:rFonts w:cs="Times New Roman" w:asciiTheme="minorEastAsia" w:hAnsiTheme="minorEastAsia"/>
          <w:sz w:val="28"/>
          <w:szCs w:val="28"/>
        </w:rPr>
      </w:pPr>
      <w:r>
        <w:rPr>
          <w:rFonts w:cs="Times New Roman" w:asciiTheme="minorEastAsia" w:hAnsiTheme="minorEastAsia"/>
          <w:sz w:val="28"/>
          <w:szCs w:val="28"/>
        </w:rPr>
      </w:r>
      <w:r/>
    </w:p>
    <w:p>
      <w:pPr>
        <w:rPr>
          <w:rFonts w:ascii="黑体" w:hAnsi="黑体" w:eastAsia="黑体" w:cs="黑体"/>
          <w:i/>
          <w:sz w:val="32"/>
          <w:szCs w:val="32"/>
          <w:u w:val="single"/>
        </w:rPr>
      </w:pPr>
      <w:r/>
      <w:bookmarkStart w:id="128" w:name="_Toc120614284"/>
      <w:r>
        <w:rPr>
          <w:rFonts w:hint="eastAsia" w:ascii="黑体" w:hAnsi="黑体" w:eastAsia="黑体" w:cs="黑体"/>
          <w:i/>
          <w:sz w:val="32"/>
          <w:szCs w:val="32"/>
          <w:u w:val="single"/>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   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二、上一年度的财务状况报告</w:t>
      </w:r>
      <w:r/>
    </w:p>
    <w:p>
      <w:pPr>
        <w:jc w:val="center"/>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87"/>
        <w:ind w:firstLine="492"/>
        <w:jc w:val="center"/>
        <w:widowControl/>
        <w:rPr>
          <w:rFonts w:ascii="宋体" w:hAnsi="宋体" w:eastAsia="宋体" w:cs="宋体"/>
          <w:sz w:val="24"/>
          <w:szCs w:val="24"/>
        </w:rPr>
      </w:pPr>
      <w:r>
        <w:rPr>
          <w:rFonts w:ascii="宋体" w:hAnsi="宋体" w:eastAsia="宋体" w:cs="宋体"/>
          <w:sz w:val="24"/>
          <w:szCs w:val="24"/>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787"/>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787"/>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87"/>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87"/>
        <w:ind w:firstLine="492"/>
        <w:jc w:val="center"/>
        <w:widowControl/>
        <w:rPr>
          <w:rFonts w:ascii="方正小标宋_GBK" w:hAnsi="宋体" w:eastAsia="方正小标宋_GBK" w:cs="宋体"/>
          <w:iCs/>
          <w:sz w:val="24"/>
          <w:szCs w:val="24"/>
        </w:rPr>
      </w:pPr>
      <w:r>
        <w:rPr>
          <w:rFonts w:ascii="方正小标宋_GBK" w:hAnsi="宋体" w:eastAsia="方正小标宋_GBK" w:cs="宋体"/>
          <w:iCs/>
          <w:sz w:val="24"/>
          <w:szCs w:val="24"/>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87"/>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787"/>
        <w:ind w:firstLine="492"/>
        <w:jc w:val="both"/>
        <w:widowControl/>
        <w:rPr>
          <w:rFonts w:ascii="宋体" w:hAnsi="宋体" w:eastAsia="宋体" w:cs="宋体"/>
          <w:sz w:val="24"/>
          <w:szCs w:val="24"/>
        </w:rPr>
      </w:pPr>
      <w:r>
        <w:rPr>
          <w:rFonts w:ascii="宋体" w:hAnsi="宋体" w:eastAsia="宋体" w:cs="宋体"/>
          <w:sz w:val="24"/>
          <w:szCs w:val="24"/>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787"/>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787"/>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87"/>
        <w:ind w:firstLine="492"/>
        <w:jc w:val="both"/>
        <w:spacing w:line="5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六、特定资格要求的证明文件</w:t>
      </w:r>
      <w:r/>
    </w:p>
    <w:p>
      <w:pPr>
        <w:pStyle w:val="787"/>
        <w:jc w:val="center"/>
        <w:spacing w:before="0" w:after="0"/>
        <w:rPr>
          <w:rFonts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left"/>
        <w:widowControl/>
        <w:rPr>
          <w:rFonts w:cs="Times New Roman" w:asciiTheme="minorEastAsia" w:hAnsiTheme="minorEastAsia"/>
          <w:sz w:val="32"/>
          <w:szCs w:val="32"/>
        </w:rPr>
      </w:pPr>
      <w:r>
        <w:rPr>
          <w:rFonts w:asciiTheme="minorEastAsia" w:hAnsiTheme="minorEastAsia"/>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七、法人授权书</w:t>
      </w:r>
      <w:r/>
    </w:p>
    <w:p>
      <w:pPr>
        <w:pStyle w:val="787"/>
        <w:ind w:firstLine="480"/>
        <w:jc w:val="both"/>
        <w:spacing w:before="0" w:after="0" w:line="5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（供应商名称）授权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（被授权人的姓名）为我方就</w:t>
      </w:r>
      <w:r>
        <w:rPr>
          <w:rFonts w:hint="eastAsia" w:asciiTheme="minorEastAsia" w:hAnsiTheme="minorEastAsia" w:eastAsiaTheme="minorEastAsia" w:cstheme="minorEastAsia"/>
          <w:b/>
        </w:rPr>
        <w:t xml:space="preserve">JSZC-320900-JZCG-G2025-0063</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盐城市公安局大数据支队新警综平台备份库建设项目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787"/>
        <w:ind w:firstLine="480"/>
        <w:jc w:val="both"/>
        <w:spacing w:before="0" w:after="0" w:line="5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日起生效，特此声明。</w:t>
      </w:r>
      <w:r/>
    </w:p>
    <w:p>
      <w:pPr>
        <w:pStyle w:val="787"/>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bookmarkStart w:id="129" w:name="_格式3__银行出具的资信证明"/>
      <w:r/>
      <w:bookmarkStart w:id="130" w:name="_Hlt26671380"/>
      <w:r/>
      <w:bookmarkStart w:id="131" w:name="_Hlt26955070"/>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787"/>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rPr>
          <w:rFonts w:hint="eastAsia" w:asciiTheme="minorEastAsia" w:hAnsiTheme="minorEastAsia" w:eastAsiaTheme="minorEastAsia" w:cstheme="minorEastAsia"/>
          <w:sz w:val="24"/>
          <w:szCs w:val="24"/>
          <w:u w:val="single"/>
        </w:rPr>
        <w:t xml:space="preserve">          </w:t>
      </w:r>
      <w:r/>
    </w:p>
    <w:p>
      <w:pPr>
        <w:pStyle w:val="787"/>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787"/>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787"/>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787"/>
        <w:ind w:firstLine="480"/>
        <w:jc w:val="both"/>
        <w:spacing w:before="0" w:after="0" w:line="560" w:lineRule="exac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八、投标函</w:t>
      </w:r>
      <w:r/>
    </w:p>
    <w:p>
      <w:pPr>
        <w:jc w:val="left"/>
        <w:spacing w:line="50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00" w:lineRule="exact"/>
        <w:rPr>
          <w:rFonts w:ascii="宋体" w:hAnsi="宋体" w:cs="宋体"/>
          <w:sz w:val="24"/>
        </w:rPr>
      </w:pPr>
      <w:r>
        <w:rPr>
          <w:rFonts w:hint="eastAsia" w:ascii="宋体" w:hAnsi="宋体" w:cs="宋体"/>
          <w:sz w:val="24"/>
        </w:rPr>
        <w:t xml:space="preserve">根据贵方的</w:t>
      </w:r>
      <w:r>
        <w:rPr>
          <w:rFonts w:hint="eastAsia" w:ascii="宋体" w:hAnsi="宋体" w:eastAsia="宋体" w:cs="宋体"/>
          <w:sz w:val="24"/>
          <w:szCs w:val="20"/>
        </w:rPr>
        <w:t xml:space="preserve">JSZC-320900-JZCG-G2025-0063</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ascii="宋体" w:hAnsi="宋体" w:cs="宋体"/>
          <w:sz w:val="24"/>
        </w:rPr>
        <w:outlineLvl w:val="2"/>
      </w:pPr>
      <w:r>
        <w:rPr>
          <w:rFonts w:hint="eastAsia" w:ascii="宋体" w:hAnsi="宋体" w:cs="宋体"/>
          <w:sz w:val="24"/>
        </w:rPr>
        <w:t xml:space="preserve">2.我们完全理解贵方不一定将合同授予最低报价的投标人。</w:t>
      </w:r>
      <w:r/>
    </w:p>
    <w:p>
      <w:pPr>
        <w:ind w:firstLine="480"/>
        <w:jc w:val="left"/>
        <w:spacing w:line="5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rPr>
          <w:rFonts w:ascii="宋体" w:hAnsi="宋体" w:cs="宋体"/>
          <w:sz w:val="24"/>
        </w:rPr>
      </w:pPr>
      <w:r>
        <w:rPr>
          <w:rFonts w:hint="eastAsia" w:ascii="宋体" w:hAnsi="宋体" w:cs="宋体"/>
          <w:sz w:val="24"/>
        </w:rPr>
        <w:t xml:space="preserve">地     址：</w:t>
      </w:r>
      <w:r/>
    </w:p>
    <w:p>
      <w:pPr>
        <w:ind w:firstLine="480"/>
        <w:jc w:val="left"/>
        <w:spacing w:line="500" w:lineRule="exact"/>
        <w:rPr>
          <w:rFonts w:ascii="宋体" w:hAnsi="宋体" w:cs="宋体"/>
          <w:sz w:val="24"/>
        </w:rPr>
      </w:pPr>
      <w:r>
        <w:rPr>
          <w:rFonts w:hint="eastAsia" w:ascii="宋体" w:hAnsi="宋体" w:cs="宋体"/>
          <w:sz w:val="24"/>
        </w:rPr>
        <w:t xml:space="preserve">邮    编：</w:t>
      </w:r>
      <w:r/>
    </w:p>
    <w:p>
      <w:pPr>
        <w:ind w:firstLine="480"/>
        <w:jc w:val="left"/>
        <w:spacing w:line="500" w:lineRule="exact"/>
        <w:rPr>
          <w:rFonts w:ascii="宋体" w:hAnsi="宋体" w:cs="宋体"/>
          <w:sz w:val="24"/>
        </w:rPr>
      </w:pPr>
      <w:r>
        <w:rPr>
          <w:rFonts w:hint="eastAsia" w:ascii="宋体" w:hAnsi="宋体" w:cs="宋体"/>
          <w:sz w:val="24"/>
        </w:rPr>
        <w:t xml:space="preserve">电     话：</w:t>
      </w:r>
      <w:r/>
    </w:p>
    <w:p>
      <w:pPr>
        <w:ind w:firstLine="480"/>
        <w:jc w:val="left"/>
        <w:spacing w:line="500" w:lineRule="exact"/>
        <w:rPr>
          <w:rFonts w:ascii="宋体" w:hAnsi="宋体" w:cs="宋体"/>
          <w:sz w:val="24"/>
        </w:rPr>
      </w:pPr>
      <w:r>
        <w:rPr>
          <w:rFonts w:hint="eastAsia" w:ascii="宋体" w:hAnsi="宋体" w:cs="宋体"/>
          <w:sz w:val="24"/>
        </w:rPr>
        <w:t xml:space="preserve">传     真：</w:t>
      </w:r>
      <w:r/>
    </w:p>
    <w:p>
      <w:pPr>
        <w:ind w:firstLine="480"/>
        <w:jc w:val="left"/>
        <w:spacing w:line="500" w:lineRule="exact"/>
        <w:rPr>
          <w:rFonts w:ascii="宋体" w:hAnsi="宋体" w:cs="宋体"/>
          <w:sz w:val="24"/>
        </w:rPr>
      </w:pPr>
      <w:r>
        <w:rPr>
          <w:rFonts w:hint="eastAsia" w:ascii="宋体" w:hAnsi="宋体" w:cs="宋体"/>
          <w:sz w:val="24"/>
        </w:rPr>
        <w:t xml:space="preserve">投标人开户行：</w:t>
      </w:r>
      <w:r/>
    </w:p>
    <w:p>
      <w:pPr>
        <w:ind w:firstLine="480"/>
        <w:jc w:val="left"/>
        <w:spacing w:line="500" w:lineRule="exact"/>
        <w:rPr>
          <w:rFonts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w:t>
      </w:r>
      <w:r>
        <w:rPr>
          <w:rFonts w:hint="eastAsia" w:ascii="宋体" w:hAnsi="宋体" w:cs="宋体"/>
          <w:sz w:val="24"/>
          <w:u w:val="single"/>
        </w:rPr>
        <w:t xml:space="preserve">公</w:t>
      </w:r>
      <w:r>
        <w:rPr>
          <w:rFonts w:hint="eastAsia" w:ascii="宋体" w:hAnsi="宋体" w:cs="宋体"/>
          <w:sz w:val="24"/>
          <w:u w:val="single"/>
        </w:rPr>
        <w:t xml:space="preserve">安</w:t>
      </w:r>
      <w:r>
        <w:rPr>
          <w:rFonts w:hint="eastAsia" w:ascii="宋体" w:hAnsi="宋体" w:cs="宋体"/>
          <w:sz w:val="24"/>
          <w:u w:val="single"/>
        </w:rPr>
        <w:t xml:space="preserve">局</w:t>
      </w:r>
      <w:r>
        <w:rPr>
          <w:rFonts w:hint="eastAsia" w:ascii="宋体" w:hAnsi="宋体" w:cs="宋体"/>
          <w:sz w:val="24"/>
        </w:rPr>
        <w:t xml:space="preserve">，</w:t>
      </w:r>
      <w:r>
        <w:rPr>
          <w:rFonts w:ascii="宋体" w:hAnsi="宋体" w:cs="宋体"/>
          <w:sz w:val="24"/>
        </w:rPr>
        <w:t xml:space="preserve">采购编号</w:t>
      </w:r>
      <w:r>
        <w:rPr>
          <w:rFonts w:hint="eastAsia" w:ascii="宋体" w:hAnsi="宋体" w:cs="宋体"/>
          <w:sz w:val="24"/>
          <w:szCs w:val="24"/>
          <w:u w:val="none"/>
        </w:rPr>
        <w:t xml:space="preserve">为</w:t>
      </w:r>
      <w:r>
        <w:rPr>
          <w:rFonts w:hint="eastAsia" w:ascii="宋体" w:hAnsi="宋体" w:cs="宋体"/>
          <w:sz w:val="24"/>
          <w:szCs w:val="24"/>
          <w:u w:val="single"/>
        </w:rPr>
        <w:t xml:space="preserve">JSZC-320900-JZCG-G2025-0063</w:t>
      </w:r>
      <w:r>
        <w:rPr>
          <w:rFonts w:ascii="宋体" w:hAnsi="宋体" w:cs="宋体"/>
          <w:sz w:val="24"/>
        </w:rPr>
        <w:t xml:space="preserve">，</w:t>
      </w:r>
      <w:r>
        <w:rPr>
          <w:rFonts w:hint="eastAsia" w:ascii="宋体" w:hAnsi="宋体" w:cs="宋体"/>
          <w:sz w:val="24"/>
          <w:u w:val="single"/>
        </w:rPr>
        <w:t xml:space="preserve">盐城市公安局大数据支队新警综平台备份库建设项目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盐城市公安局</w:t>
      </w:r>
      <w:r>
        <w:rPr>
          <w:rFonts w:hint="eastAsia" w:ascii="宋体" w:hAnsi="宋体" w:cs="宋体"/>
          <w:sz w:val="24"/>
        </w:rPr>
        <w:t xml:space="preserve">的采购文件编号</w:t>
      </w:r>
      <w:r>
        <w:rPr>
          <w:rFonts w:hint="eastAsia" w:ascii="宋体" w:hAnsi="宋体" w:cs="宋体"/>
          <w:sz w:val="24"/>
          <w:szCs w:val="24"/>
          <w:u w:val="single"/>
        </w:rPr>
        <w:t xml:space="preserve">为JSZC-320900-JZCG-G2025-0063</w:t>
      </w:r>
      <w:r>
        <w:rPr>
          <w:rFonts w:hint="eastAsia" w:ascii="宋体" w:hAnsi="宋体" w:cs="宋体"/>
          <w:sz w:val="24"/>
          <w:szCs w:val="24"/>
          <w:u w:val="none"/>
        </w:rPr>
        <w:t xml:space="preserve">的</w:t>
      </w:r>
      <w:r>
        <w:rPr>
          <w:rFonts w:hint="eastAsia" w:ascii="宋体" w:hAnsi="宋体" w:cs="宋体"/>
          <w:sz w:val="24"/>
          <w:u w:val="single"/>
        </w:rPr>
        <w:t xml:space="preserve">盐城市公安局大数据支队新警综平台备份库建设项目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ascii="宋体" w:hAnsi="宋体" w:cs="宋体"/>
          <w:sz w:val="24"/>
        </w:rPr>
      </w:pPr>
      <w:r>
        <w:rPr>
          <w:rFonts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sz w:val="24"/>
        </w:rPr>
      </w:pPr>
      <w:r>
        <w:rPr>
          <w:rFonts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right="480" w:firstLine="480"/>
        <w:jc w:val="right"/>
        <w:spacing w:line="520" w:lineRule="exact"/>
        <w:rPr>
          <w:rFonts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十一、投标分项报价表</w:t>
      </w:r>
      <w:r/>
    </w:p>
    <w:tbl>
      <w:tblPr>
        <w:tblStyle w:val="758"/>
        <w:tblW w:w="8743"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269"/>
        <w:gridCol w:w="1255"/>
        <w:gridCol w:w="1044"/>
        <w:gridCol w:w="1336"/>
        <w:gridCol w:w="1277"/>
        <w:gridCol w:w="1600"/>
      </w:tblGrid>
      <w:tr>
        <w:trPr>
          <w:tblCellSpacing w:w="0" w:type="dxa"/>
          <w:trHeight w:val="696"/>
        </w:trPr>
        <w:tc>
          <w:tcPr>
            <w:tcW w:w="962" w:type="dxa"/>
            <w:vAlign w:val="center"/>
            <w:vMerge w:val="restart"/>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269"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55"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44"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336"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277"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600"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1207"/>
        </w:trPr>
        <w:tc>
          <w:tcPr>
            <w:tcW w:w="962" w:type="dxa"/>
            <w:vAlign w:val="center"/>
            <w:vMerge w:val="continue"/>
            <w:textDirection w:val="lrTb"/>
            <w:noWrap w:val="false"/>
          </w:tcPr>
          <w:p>
            <w:pPr>
              <w:rPr>
                <w:rFonts w:asciiTheme="minorEastAsia" w:hAnsiTheme="minorEastAsia" w:cstheme="minorEastAsia"/>
                <w:sz w:val="24"/>
              </w:rPr>
            </w:pPr>
            <w:r>
              <w:rPr>
                <w:rFonts w:asciiTheme="minorEastAsia" w:hAnsiTheme="minorEastAsia" w:cstheme="minorEastAsia"/>
                <w:sz w:val="24"/>
              </w:rPr>
            </w:r>
            <w:r/>
          </w:p>
        </w:tc>
        <w:tc>
          <w:tcPr>
            <w:tcW w:w="1269"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255"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W w:w="1044"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 单位</w:t>
            </w:r>
            <w:r/>
          </w:p>
        </w:tc>
        <w:tc>
          <w:tcPr>
            <w:tcW w:w="1336"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7"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00"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818"/>
        </w:trPr>
        <w:tc>
          <w:tcPr>
            <w:tcW w:w="962"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69"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269"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269"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69"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55"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96"/>
        </w:trPr>
        <w:tc>
          <w:tcPr>
            <w:gridSpan w:val="6"/>
            <w:tcW w:w="7143" w:type="dxa"/>
            <w:vAlign w:val="center"/>
            <w:textDirection w:val="lrTb"/>
            <w:noWrap w:val="false"/>
          </w:tcPr>
          <w:p>
            <w:pPr>
              <w:pStyle w:val="78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W w:w="1600" w:type="dxa"/>
            <w:vAlign w:val="center"/>
            <w:textDirection w:val="lrTb"/>
            <w:noWrap w:val="false"/>
          </w:tcPr>
          <w:p>
            <w:pPr>
              <w:pStyle w:val="787"/>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787"/>
        <w:jc w:val="both"/>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 “投标分项报价表”中“投标总报价”数额应当与“开标一览表”中“投标总报价”数额一致。</w:t>
      </w:r>
      <w:r/>
    </w:p>
    <w:p>
      <w:pPr>
        <w:pStyle w:val="787"/>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十二、技术要求响应及偏离表</w:t>
      </w:r>
      <w:r/>
    </w:p>
    <w:tbl>
      <w:tblPr>
        <w:tblStyle w:val="758"/>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787"/>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87"/>
        <w:widowControl/>
        <w:rPr>
          <w:rFonts w:asciiTheme="minorEastAsia" w:hAnsiTheme="minorEastAsia" w:eastAsiaTheme="minorEastAsia"/>
        </w:rPr>
      </w:pPr>
      <w:r>
        <w:rPr>
          <w:rFonts w:asciiTheme="minorEastAsia" w:hAnsiTheme="minorEastAsia" w:eastAsiaTheme="minorEastAsia"/>
        </w:rPr>
        <w:t xml:space="preserve"> </w:t>
      </w:r>
      <w:bookmarkStart w:id="132" w:name="_Hlt26955054"/>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十三、商务要求响应及偏离表</w:t>
      </w:r>
      <w:r/>
    </w:p>
    <w:tbl>
      <w:tblPr>
        <w:tblStyle w:val="758"/>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787"/>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87"/>
        <w:jc w:val="center"/>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十四、开标一览表</w:t>
      </w:r>
      <w:r/>
    </w:p>
    <w:p>
      <w:pPr>
        <w:pStyle w:val="996"/>
        <w:ind w:firstLine="0"/>
        <w:jc w:val="both"/>
        <w:spacing w:before="0" w:beforeAutospacing="0" w:after="0" w:afterAutospacing="0" w:line="460" w:lineRule="exact"/>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项目编号：</w:t>
      </w:r>
      <w:r/>
    </w:p>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asciiTheme="minorEastAsia" w:hAnsiTheme="minorEastAsia" w:cstheme="minorEastAsia"/>
                <w:sz w:val="24"/>
              </w:rPr>
            </w:pPr>
            <w:r>
              <w:rPr>
                <w:rFonts w:hint="eastAsia" w:eastAsia="宋体" w:asciiTheme="minorEastAsia" w:hAnsiTheme="minorEastAsia" w:cstheme="minorEastAsia"/>
                <w:sz w:val="24"/>
              </w:rPr>
              <w:t xml:space="preserve">盐城市公安局大数据支队新警综平台备份库建设项目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val="false"/>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right"/>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日期： 年 月 日</w:t>
      </w:r>
      <w:r/>
    </w:p>
    <w:p>
      <w:pPr>
        <w:pStyle w:val="996"/>
        <w:ind w:right="279" w:firstLine="480"/>
        <w:jc w:val="right"/>
        <w:spacing w:beforeAutospacing="0" w:afterAutospacing="0"/>
        <w:rPr>
          <w:color w:val="auto"/>
        </w:rPr>
      </w:pPr>
      <w:r>
        <w:rPr>
          <w:rFonts w:hint="eastAsia"/>
          <w:color w:val="auto"/>
        </w:rPr>
        <w:t xml:space="preserve">                                </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十五、服务方案等</w:t>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widowControl/>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十六、盐城市政府采购事前信用承诺书</w:t>
      </w:r>
      <w:bookmarkEnd w:id="7"/>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101"/>
      <w:r/>
      <w:bookmarkEnd w:id="102"/>
      <w:r/>
      <w:bookmarkEnd w:id="116"/>
      <w:r/>
      <w:bookmarkEnd w:id="121"/>
      <w:r/>
      <w:bookmarkEnd w:id="122"/>
      <w:r/>
      <w:bookmarkEnd w:id="123"/>
      <w:r/>
      <w:bookmarkEnd w:id="128"/>
      <w:r/>
      <w:bookmarkEnd w:id="129"/>
      <w:r/>
      <w:bookmarkEnd w:id="130"/>
      <w:r/>
      <w:bookmarkEnd w:id="131"/>
      <w:r/>
      <w:bookmarkEnd w:id="132"/>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rFonts w:hint="eastAsia"/>
          <w:sz w:val="24"/>
        </w:rPr>
        <w:t xml:space="preserve">                </w:t>
      </w:r>
      <w:r/>
    </w:p>
    <w:p>
      <w:pPr>
        <w:ind w:firstLine="440"/>
        <w:jc w:val="right"/>
        <w:spacing w:line="520" w:lineRule="exact"/>
        <w:widowControl/>
        <w:rPr>
          <w:sz w:val="24"/>
        </w:rPr>
      </w:pPr>
      <w:r>
        <w:rPr>
          <w:rFonts w:hint="eastAsia"/>
          <w:sz w:val="24"/>
        </w:rPr>
        <w:t xml:space="preserve"> 法定代表人（签名）：          </w:t>
      </w:r>
      <w:r/>
    </w:p>
    <w:p>
      <w:pPr>
        <w:ind w:firstLine="440"/>
        <w:jc w:val="right"/>
        <w:spacing w:line="520" w:lineRule="exact"/>
        <w:widowControl/>
        <w:rPr>
          <w:sz w:val="24"/>
        </w:rPr>
      </w:pPr>
      <w:r>
        <w:rPr>
          <w:rFonts w:hint="eastAsia"/>
          <w:sz w:val="24"/>
        </w:rPr>
        <w:t xml:space="preserve">单位名称（盖章）：          </w:t>
      </w:r>
      <w:r/>
    </w:p>
    <w:p>
      <w:pPr>
        <w:ind w:firstLine="440"/>
        <w:spacing w:line="520" w:lineRule="exact"/>
        <w:widowControl/>
        <w:rPr>
          <w:sz w:val="24"/>
        </w:rPr>
      </w:pPr>
      <w:r>
        <w:rPr>
          <w:rFonts w:hint="eastAsia"/>
          <w:sz w:val="24"/>
        </w:rPr>
        <w:t xml:space="preserve">                                                       年   月   日</w:t>
      </w:r>
      <w:r/>
    </w:p>
    <w:p>
      <w:pPr>
        <w:ind w:firstLine="440"/>
        <w:jc w:val="center"/>
        <w:spacing w:line="52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87"/>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一、质疑供应商基本信息</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质疑供应商：</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87"/>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87"/>
        <w:ind w:firstLine="482"/>
        <w:jc w:val="both"/>
        <w:spacing w:line="42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rPr>
          <w:rFonts w:hint="eastAsia" w:asciiTheme="minorEastAsia" w:hAnsiTheme="minorEastAsia" w:eastAsiaTheme="minorEastAsia" w:cstheme="minorEastAsia"/>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二、质疑项目基本情况</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采购人名称：</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三、质疑事项具体内容</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787"/>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787"/>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四、与质疑事项相关的质疑请求</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787"/>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787"/>
        <w:ind w:firstLine="482"/>
        <w:spacing w:line="420" w:lineRule="exact"/>
        <w:widowControl/>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1. 供应商提出质疑时，应提交质疑函和必要的证明材料。</w:t>
      </w:r>
      <w:r/>
    </w:p>
    <w:p>
      <w:pPr>
        <w:pStyle w:val="787"/>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7"/>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3. 质疑供应商若对项目的某一分包进行质疑，质疑函中应列明具体分包号。</w:t>
      </w:r>
      <w:r/>
    </w:p>
    <w:p>
      <w:pPr>
        <w:pStyle w:val="787"/>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787"/>
        <w:ind w:firstLine="482"/>
        <w:spacing w:line="420" w:lineRule="exact"/>
        <w:widowControl/>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5. 质疑函的质疑请求应与质疑事项相关。</w:t>
      </w:r>
      <w:r/>
    </w:p>
    <w:p>
      <w:pPr>
        <w:pStyle w:val="787"/>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6. 质疑供应商为自然人的，质疑函应由本人签字；质疑供应商为法人或者其他组织的，质疑函应由法定代表人、主要负责人，或者其授权代表签字或者盖章，并加盖公章。</w:t>
      </w:r>
      <w:r/>
    </w:p>
    <w:sectPr>
      <w:footerReference w:type="default" r:id="rId12"/>
      <w:footerReference w:type="first" r:id="rId13"/>
      <w:footnotePr/>
      <w:endnotePr/>
      <w:type w:val="nextPage"/>
      <w:pgSz w:w="11906" w:h="16838" w:orient="portrait"/>
      <w:pgMar w:top="1440" w:right="1633" w:bottom="1440" w:left="1633" w:header="1020" w:footer="1134"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等线">
    <w:panose1 w:val="02010600030101010101"/>
  </w:font>
  <w:font w:name="方正仿宋_GB2312">
    <w:panose1 w:val="020B0503020202020204"/>
  </w:font>
  <w:font w:name="Courier New">
    <w:panose1 w:val="02070309020205020404"/>
  </w:font>
  <w:font w:name="楷体_GB2312">
    <w:panose1 w:val="02010609060101010101"/>
  </w:font>
  <w:font w:name="黑体">
    <w:panose1 w:val="02010609060101010101"/>
  </w:font>
  <w:font w:name="Arial">
    <w:panose1 w:val="020B0604020202020204"/>
  </w:font>
  <w:font w:name="Arial Unicode MS">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fldChar w:fldCharType="begin"/>
    </w:r>
    <w:r>
      <w:instrText xml:space="preserve">PAGE \* MERGEFORMAT</w:instrText>
    </w:r>
    <w:r>
      <w:fldChar w:fldCharType="separate"/>
    </w:r>
    <w:r>
      <w:t xml:space="preserve">2</w:t>
    </w:r>
    <w:r>
      <w:fldChar w:fldCharType="end"/>
    </w:r>
    <w:r/>
  </w:p>
  <w:p>
    <w:pPr>
      <w:pStyle w:val="7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600"/>
      <w:spacing w:line="40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50"/>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8">
    <w:name w:val="Heading 1"/>
    <w:basedOn w:val="747"/>
    <w:next w:val="747"/>
    <w:link w:val="1011"/>
    <w:uiPriority w:val="9"/>
    <w:qFormat/>
    <w:pPr>
      <w:keepLines/>
      <w:keepNext/>
      <w:spacing w:before="340" w:after="330" w:line="578" w:lineRule="auto"/>
      <w:outlineLvl w:val="0"/>
    </w:pPr>
    <w:rPr>
      <w:b/>
      <w:bCs/>
      <w:sz w:val="44"/>
      <w:szCs w:val="44"/>
    </w:rPr>
  </w:style>
  <w:style w:type="paragraph" w:styleId="749">
    <w:name w:val="Heading 2"/>
    <w:basedOn w:val="747"/>
    <w:next w:val="747"/>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750">
    <w:name w:val="Heading 3"/>
    <w:basedOn w:val="747"/>
    <w:next w:val="747"/>
    <w:uiPriority w:val="0"/>
    <w:unhideWhenUsed/>
    <w:qFormat/>
    <w:pPr>
      <w:numPr>
        <w:ilvl w:val="2"/>
        <w:numId w:val="1"/>
      </w:numPr>
      <w:ind w:firstLine="0"/>
      <w:keepLines/>
      <w:keepNext/>
      <w:spacing w:before="260" w:after="260" w:line="415" w:lineRule="auto"/>
      <w:tabs>
        <w:tab w:val="left" w:pos="360" w:leader="none"/>
      </w:tabs>
      <w:outlineLvl w:val="2"/>
    </w:pPr>
    <w:rPr>
      <w:rFonts w:ascii="黑体" w:hAnsi="黑体" w:eastAsia="黑体" w:cs="黑体"/>
      <w:b/>
      <w:bCs/>
      <w:sz w:val="28"/>
      <w:szCs w:val="28"/>
    </w:rPr>
  </w:style>
  <w:style w:type="paragraph" w:styleId="751">
    <w:name w:val="Heading 4"/>
    <w:basedOn w:val="747"/>
    <w:next w:val="74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spacing w:after="57"/>
    </w:pPr>
  </w:style>
  <w:style w:type="paragraph" w:styleId="760">
    <w:name w:val="Normal Indent"/>
    <w:basedOn w:val="747"/>
    <w:link w:val="985"/>
    <w:uiPriority w:val="0"/>
    <w:qFormat/>
    <w:pPr>
      <w:ind w:firstLine="420"/>
      <w:jc w:val="left"/>
    </w:pPr>
    <w:rPr>
      <w:rFonts w:ascii="Times New Roman" w:hAnsi="Times New Roman" w:eastAsia="楷体_GB2312" w:cs="Times New Roman"/>
      <w:sz w:val="24"/>
      <w:szCs w:val="20"/>
    </w:rPr>
  </w:style>
  <w:style w:type="paragraph" w:styleId="761">
    <w:name w:val="Caption"/>
    <w:basedOn w:val="747"/>
    <w:next w:val="7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2">
    <w:name w:val="Document Map"/>
    <w:basedOn w:val="747"/>
    <w:link w:val="1024"/>
    <w:uiPriority w:val="99"/>
    <w:semiHidden/>
    <w:unhideWhenUsed/>
    <w:qFormat/>
    <w:rPr>
      <w:rFonts w:ascii="宋体" w:eastAsia="宋体"/>
      <w:sz w:val="18"/>
      <w:szCs w:val="18"/>
    </w:rPr>
  </w:style>
  <w:style w:type="paragraph" w:styleId="763">
    <w:name w:val="annotation text"/>
    <w:basedOn w:val="747"/>
    <w:link w:val="1017"/>
    <w:uiPriority w:val="0"/>
    <w:qFormat/>
    <w:pPr>
      <w:jc w:val="left"/>
    </w:pPr>
  </w:style>
  <w:style w:type="paragraph" w:styleId="764">
    <w:name w:val="Body Text"/>
    <w:basedOn w:val="747"/>
    <w:next w:val="765"/>
    <w:link w:val="986"/>
    <w:uiPriority w:val="0"/>
    <w:qFormat/>
    <w:rPr>
      <w:rFonts w:ascii="Times New Roman" w:hAnsi="Times New Roman" w:eastAsia="宋体" w:cs="Times New Roman"/>
      <w:szCs w:val="20"/>
    </w:rPr>
  </w:style>
  <w:style w:type="paragraph" w:styleId="765">
    <w:name w:val="toc 5"/>
    <w:basedOn w:val="747"/>
    <w:next w:val="747"/>
    <w:uiPriority w:val="39"/>
    <w:unhideWhenUsed/>
    <w:qFormat/>
    <w:pPr>
      <w:ind w:left="1134"/>
      <w:spacing w:after="57"/>
    </w:pPr>
  </w:style>
  <w:style w:type="paragraph" w:styleId="766">
    <w:name w:val="Body Text Indent"/>
    <w:basedOn w:val="747"/>
    <w:next w:val="747"/>
    <w:link w:val="993"/>
    <w:uiPriority w:val="0"/>
    <w:qFormat/>
    <w:pPr>
      <w:ind w:left="420"/>
      <w:spacing w:after="120"/>
    </w:pPr>
  </w:style>
  <w:style w:type="paragraph" w:styleId="767">
    <w:name w:val="index 4"/>
    <w:basedOn w:val="747"/>
    <w:next w:val="747"/>
    <w:uiPriority w:val="99"/>
    <w:unhideWhenUsed/>
    <w:qFormat/>
    <w:rPr>
      <w:sz w:val="24"/>
    </w:rPr>
  </w:style>
  <w:style w:type="paragraph" w:styleId="768">
    <w:name w:val="toc 3"/>
    <w:basedOn w:val="747"/>
    <w:next w:val="747"/>
    <w:uiPriority w:val="39"/>
    <w:unhideWhenUsed/>
    <w:qFormat/>
    <w:pPr>
      <w:ind w:left="567"/>
      <w:spacing w:after="57"/>
    </w:pPr>
  </w:style>
  <w:style w:type="paragraph" w:styleId="769">
    <w:name w:val="Plain Text"/>
    <w:basedOn w:val="747"/>
    <w:link w:val="1016"/>
    <w:uiPriority w:val="0"/>
    <w:qFormat/>
    <w:rPr>
      <w:rFonts w:ascii="宋体" w:hAnsi="Courier New" w:eastAsia="宋体" w:cs="Courier New"/>
      <w:szCs w:val="21"/>
    </w:rPr>
  </w:style>
  <w:style w:type="paragraph" w:styleId="770">
    <w:name w:val="toc 8"/>
    <w:basedOn w:val="747"/>
    <w:next w:val="747"/>
    <w:uiPriority w:val="39"/>
    <w:unhideWhenUsed/>
    <w:qFormat/>
    <w:pPr>
      <w:ind w:left="1984"/>
      <w:spacing w:after="57"/>
    </w:pPr>
  </w:style>
  <w:style w:type="paragraph" w:styleId="771">
    <w:name w:val="Date"/>
    <w:basedOn w:val="747"/>
    <w:next w:val="747"/>
    <w:link w:val="998"/>
    <w:uiPriority w:val="0"/>
    <w:qFormat/>
    <w:pPr>
      <w:ind w:left="100"/>
    </w:pPr>
  </w:style>
  <w:style w:type="paragraph" w:styleId="772">
    <w:name w:val="Body Text Indent 2"/>
    <w:basedOn w:val="747"/>
    <w:next w:val="747"/>
    <w:link w:val="989"/>
    <w:uiPriority w:val="0"/>
    <w:qFormat/>
    <w:pPr>
      <w:ind w:left="420"/>
      <w:spacing w:after="120" w:line="480" w:lineRule="auto"/>
    </w:pPr>
  </w:style>
  <w:style w:type="paragraph" w:styleId="773">
    <w:name w:val="endnote text"/>
    <w:basedOn w:val="747"/>
    <w:link w:val="977"/>
    <w:uiPriority w:val="99"/>
    <w:semiHidden/>
    <w:unhideWhenUsed/>
    <w:qFormat/>
    <w:rPr>
      <w:sz w:val="20"/>
    </w:rPr>
  </w:style>
  <w:style w:type="paragraph" w:styleId="774">
    <w:name w:val="Balloon Text"/>
    <w:basedOn w:val="747"/>
    <w:link w:val="1000"/>
    <w:uiPriority w:val="0"/>
    <w:qFormat/>
    <w:rPr>
      <w:sz w:val="18"/>
      <w:szCs w:val="18"/>
    </w:rPr>
  </w:style>
  <w:style w:type="paragraph" w:styleId="775">
    <w:name w:val="Footer"/>
    <w:basedOn w:val="747"/>
    <w:link w:val="1009"/>
    <w:uiPriority w:val="99"/>
    <w:unhideWhenUsed/>
    <w:qFormat/>
    <w:pPr>
      <w:jc w:val="left"/>
      <w:tabs>
        <w:tab w:val="center" w:pos="4153" w:leader="none"/>
        <w:tab w:val="right" w:pos="8306" w:leader="none"/>
      </w:tabs>
    </w:pPr>
    <w:rPr>
      <w:sz w:val="18"/>
      <w:szCs w:val="18"/>
    </w:rPr>
  </w:style>
  <w:style w:type="paragraph" w:styleId="776">
    <w:name w:val="Header"/>
    <w:basedOn w:val="747"/>
    <w:link w:val="100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7"/>
    <w:next w:val="747"/>
    <w:uiPriority w:val="39"/>
    <w:qFormat/>
    <w:pPr>
      <w:jc w:val="left"/>
      <w:spacing w:before="120" w:after="120" w:line="400" w:lineRule="exact"/>
    </w:pPr>
    <w:rPr>
      <w:rFonts w:hint="eastAsia" w:ascii="宋体" w:hAnsi="宋体" w:eastAsia="宋体" w:cs="Times New Roman"/>
      <w:caps/>
      <w:sz w:val="24"/>
    </w:rPr>
  </w:style>
  <w:style w:type="paragraph" w:styleId="778">
    <w:name w:val="toc 4"/>
    <w:basedOn w:val="747"/>
    <w:next w:val="747"/>
    <w:uiPriority w:val="39"/>
    <w:unhideWhenUsed/>
    <w:qFormat/>
    <w:pPr>
      <w:ind w:left="850"/>
      <w:spacing w:after="57"/>
    </w:pPr>
  </w:style>
  <w:style w:type="paragraph" w:styleId="779">
    <w:name w:val="Subtitle"/>
    <w:basedOn w:val="747"/>
    <w:next w:val="747"/>
    <w:link w:val="842"/>
    <w:uiPriority w:val="11"/>
    <w:qFormat/>
    <w:pPr>
      <w:spacing w:before="200" w:after="200"/>
    </w:pPr>
    <w:rPr>
      <w:sz w:val="24"/>
    </w:rPr>
  </w:style>
  <w:style w:type="paragraph" w:styleId="780">
    <w:name w:val="footnote text"/>
    <w:basedOn w:val="747"/>
    <w:link w:val="976"/>
    <w:uiPriority w:val="99"/>
    <w:semiHidden/>
    <w:unhideWhenUsed/>
    <w:qFormat/>
    <w:pPr>
      <w:spacing w:after="40"/>
    </w:pPr>
    <w:rPr>
      <w:sz w:val="18"/>
    </w:rPr>
  </w:style>
  <w:style w:type="paragraph" w:styleId="781">
    <w:name w:val="toc 6"/>
    <w:basedOn w:val="747"/>
    <w:next w:val="747"/>
    <w:uiPriority w:val="39"/>
    <w:unhideWhenUsed/>
    <w:qFormat/>
    <w:pPr>
      <w:ind w:left="1417"/>
      <w:spacing w:after="57"/>
    </w:pPr>
  </w:style>
  <w:style w:type="paragraph" w:styleId="782">
    <w:name w:val="Body Text Indent 3"/>
    <w:basedOn w:val="747"/>
    <w:link w:val="991"/>
    <w:uiPriority w:val="0"/>
    <w:qFormat/>
    <w:pPr>
      <w:ind w:left="420"/>
      <w:spacing w:after="120"/>
    </w:pPr>
    <w:rPr>
      <w:sz w:val="16"/>
      <w:szCs w:val="16"/>
    </w:rPr>
  </w:style>
  <w:style w:type="paragraph" w:styleId="783">
    <w:name w:val="index 9"/>
    <w:basedOn w:val="747"/>
    <w:next w:val="747"/>
    <w:uiPriority w:val="0"/>
    <w:qFormat/>
    <w:pPr>
      <w:ind w:left="1600"/>
    </w:pPr>
    <w:rPr>
      <w:rFonts w:ascii="Times New Roman" w:hAnsi="Times New Roman" w:eastAsia="宋体" w:cs="Times New Roman"/>
    </w:rPr>
  </w:style>
  <w:style w:type="paragraph" w:styleId="784">
    <w:name w:val="table of figures"/>
    <w:basedOn w:val="747"/>
    <w:next w:val="747"/>
    <w:uiPriority w:val="99"/>
    <w:unhideWhenUsed/>
    <w:qFormat/>
  </w:style>
  <w:style w:type="paragraph" w:styleId="785">
    <w:name w:val="toc 2"/>
    <w:basedOn w:val="747"/>
    <w:next w:val="747"/>
    <w:uiPriority w:val="39"/>
    <w:unhideWhenUsed/>
    <w:qFormat/>
    <w:pPr>
      <w:ind w:left="283"/>
      <w:spacing w:after="57"/>
    </w:pPr>
  </w:style>
  <w:style w:type="paragraph" w:styleId="786">
    <w:name w:val="toc 9"/>
    <w:basedOn w:val="747"/>
    <w:next w:val="747"/>
    <w:uiPriority w:val="39"/>
    <w:unhideWhenUsed/>
    <w:qFormat/>
    <w:pPr>
      <w:ind w:left="2268"/>
      <w:spacing w:after="57"/>
    </w:pPr>
  </w:style>
  <w:style w:type="paragraph" w:styleId="787">
    <w:name w:val="Normal (Web)"/>
    <w:basedOn w:val="747"/>
    <w:uiPriority w:val="0"/>
    <w:qFormat/>
    <w:pPr>
      <w:jc w:val="left"/>
      <w:spacing w:before="120" w:after="120" w:line="0" w:lineRule="atLeast"/>
    </w:pPr>
    <w:rPr>
      <w:rFonts w:ascii="Times New Roman" w:hAnsi="Times New Roman" w:eastAsia="方正仿宋_GB2312" w:cs="Times New Roman"/>
      <w:sz w:val="32"/>
      <w:szCs w:val="32"/>
    </w:rPr>
  </w:style>
  <w:style w:type="paragraph" w:styleId="788">
    <w:name w:val="Title"/>
    <w:basedOn w:val="747"/>
    <w:next w:val="747"/>
    <w:link w:val="841"/>
    <w:uiPriority w:val="10"/>
    <w:qFormat/>
    <w:pPr>
      <w:contextualSpacing/>
      <w:spacing w:before="300" w:after="200"/>
    </w:pPr>
    <w:rPr>
      <w:sz w:val="48"/>
      <w:szCs w:val="48"/>
    </w:rPr>
  </w:style>
  <w:style w:type="paragraph" w:styleId="789">
    <w:name w:val="Body Text First Indent"/>
    <w:basedOn w:val="764"/>
    <w:uiPriority w:val="99"/>
    <w:qFormat/>
    <w:pPr>
      <w:ind w:firstLine="420"/>
    </w:pPr>
  </w:style>
  <w:style w:type="paragraph" w:styleId="790">
    <w:name w:val="Body Text First Indent 2"/>
    <w:basedOn w:val="766"/>
    <w:link w:val="994"/>
    <w:uiPriority w:val="0"/>
    <w:qFormat/>
    <w:pPr>
      <w:ind w:firstLine="420"/>
    </w:pPr>
  </w:style>
  <w:style w:type="table" w:styleId="791">
    <w:name w:val="Table Grid"/>
    <w:basedOn w:val="7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7"/>
    <w:uiPriority w:val="22"/>
    <w:qFormat/>
    <w:rPr>
      <w:b/>
      <w:bCs/>
    </w:rPr>
  </w:style>
  <w:style w:type="character" w:styleId="793">
    <w:name w:val="endnote reference"/>
    <w:basedOn w:val="757"/>
    <w:uiPriority w:val="99"/>
    <w:semiHidden/>
    <w:unhideWhenUsed/>
    <w:qFormat/>
    <w:rPr>
      <w:vertAlign w:val="superscript"/>
    </w:rPr>
  </w:style>
  <w:style w:type="character" w:styleId="794">
    <w:name w:val="Hyperlink"/>
    <w:uiPriority w:val="99"/>
    <w:unhideWhenUsed/>
    <w:qFormat/>
    <w:rPr>
      <w:color w:val="0563c1" w:themeColor="hyperlink"/>
      <w:u w:val="single"/>
      <w14:textFill>
        <w14:solidFill>
          <w14:schemeClr w14:val="hlink"/>
        </w14:solidFill>
      </w14:textFill>
    </w:rPr>
  </w:style>
  <w:style w:type="character" w:styleId="795">
    <w:name w:val="annotation reference"/>
    <w:basedOn w:val="757"/>
    <w:uiPriority w:val="0"/>
    <w:qFormat/>
    <w:rPr>
      <w:sz w:val="21"/>
      <w:szCs w:val="21"/>
    </w:rPr>
  </w:style>
  <w:style w:type="character" w:styleId="796">
    <w:name w:val="footnote reference"/>
    <w:basedOn w:val="757"/>
    <w:uiPriority w:val="99"/>
    <w:unhideWhenUsed/>
    <w:qFormat/>
    <w:rPr>
      <w:vertAlign w:val="superscript"/>
    </w:rPr>
  </w:style>
  <w:style w:type="table" w:styleId="797"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5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5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5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5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5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5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5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5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5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Heading"/>
    <w:uiPriority w:val="39"/>
    <w:unhideWhenUsed/>
    <w:rPr>
      <w:rFonts w:hint="default" w:ascii="Times New Roman" w:hAnsi="Times New Roman" w:eastAsia="宋体" w:cs="Times New Roman"/>
    </w:rPr>
  </w:style>
  <w:style w:type="character" w:styleId="817" w:customStyle="1">
    <w:name w:val="Title Char"/>
    <w:basedOn w:val="757"/>
    <w:uiPriority w:val="10"/>
    <w:qFormat/>
    <w:rPr>
      <w:sz w:val="48"/>
      <w:szCs w:val="48"/>
    </w:rPr>
  </w:style>
  <w:style w:type="character" w:styleId="818" w:customStyle="1">
    <w:name w:val="Subtitle Char"/>
    <w:basedOn w:val="757"/>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character" w:styleId="823" w:customStyle="1">
    <w:name w:val="Heading 1 Char"/>
    <w:basedOn w:val="757"/>
    <w:uiPriority w:val="9"/>
    <w:qFormat/>
    <w:rPr>
      <w:rFonts w:ascii="Arial" w:hAnsi="Arial" w:eastAsia="Arial" w:cs="Arial"/>
      <w:sz w:val="40"/>
      <w:szCs w:val="40"/>
    </w:rPr>
  </w:style>
  <w:style w:type="character" w:styleId="824" w:customStyle="1">
    <w:name w:val="Heading 2 Char"/>
    <w:basedOn w:val="757"/>
    <w:link w:val="825"/>
    <w:uiPriority w:val="9"/>
    <w:qFormat/>
    <w:rPr>
      <w:rFonts w:ascii="Arial" w:hAnsi="Arial" w:eastAsia="Arial" w:cs="Arial"/>
      <w:sz w:val="34"/>
    </w:rPr>
  </w:style>
  <w:style w:type="paragraph" w:styleId="825" w:customStyle="1">
    <w:name w:val="标题 21"/>
    <w:basedOn w:val="747"/>
    <w:next w:val="747"/>
    <w:link w:val="82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26" w:customStyle="1">
    <w:name w:val="标题 31"/>
    <w:basedOn w:val="747"/>
    <w:next w:val="747"/>
    <w:link w:val="827"/>
    <w:uiPriority w:val="9"/>
    <w:unhideWhenUsed/>
    <w:qFormat/>
    <w:pPr>
      <w:keepLines/>
      <w:keepNext/>
      <w:spacing w:before="320" w:after="200"/>
      <w:outlineLvl w:val="2"/>
    </w:pPr>
    <w:rPr>
      <w:rFonts w:ascii="Arial" w:hAnsi="Arial" w:eastAsia="Arial" w:cs="Arial"/>
      <w:sz w:val="30"/>
      <w:szCs w:val="30"/>
    </w:rPr>
  </w:style>
  <w:style w:type="character" w:styleId="827" w:customStyle="1">
    <w:name w:val="Heading 3 Char"/>
    <w:basedOn w:val="757"/>
    <w:link w:val="826"/>
    <w:uiPriority w:val="9"/>
    <w:qFormat/>
    <w:rPr>
      <w:rFonts w:ascii="Arial" w:hAnsi="Arial" w:eastAsia="Arial" w:cs="Arial"/>
      <w:sz w:val="30"/>
      <w:szCs w:val="30"/>
    </w:rPr>
  </w:style>
  <w:style w:type="paragraph" w:styleId="828" w:customStyle="1">
    <w:name w:val="标题 41"/>
    <w:basedOn w:val="747"/>
    <w:next w:val="747"/>
    <w:link w:val="829"/>
    <w:uiPriority w:val="9"/>
    <w:unhideWhenUsed/>
    <w:qFormat/>
    <w:pPr>
      <w:keepLines/>
      <w:keepNext/>
      <w:spacing w:before="320" w:after="200"/>
      <w:outlineLvl w:val="3"/>
    </w:pPr>
    <w:rPr>
      <w:rFonts w:ascii="Arial" w:hAnsi="Arial" w:eastAsia="Arial" w:cs="Arial"/>
      <w:b/>
      <w:bCs/>
      <w:sz w:val="26"/>
      <w:szCs w:val="26"/>
    </w:rPr>
  </w:style>
  <w:style w:type="character" w:styleId="829" w:customStyle="1">
    <w:name w:val="Heading 4 Char"/>
    <w:basedOn w:val="757"/>
    <w:link w:val="828"/>
    <w:uiPriority w:val="9"/>
    <w:qFormat/>
    <w:rPr>
      <w:rFonts w:ascii="Arial" w:hAnsi="Arial" w:eastAsia="Arial" w:cs="Arial"/>
      <w:b/>
      <w:bCs/>
      <w:sz w:val="26"/>
      <w:szCs w:val="26"/>
    </w:rPr>
  </w:style>
  <w:style w:type="paragraph" w:styleId="830" w:customStyle="1">
    <w:name w:val="标题 51"/>
    <w:basedOn w:val="747"/>
    <w:next w:val="747"/>
    <w:link w:val="831"/>
    <w:uiPriority w:val="9"/>
    <w:unhideWhenUsed/>
    <w:qFormat/>
    <w:pPr>
      <w:keepLines/>
      <w:keepNext/>
      <w:spacing w:before="320" w:after="200"/>
      <w:outlineLvl w:val="4"/>
    </w:pPr>
    <w:rPr>
      <w:rFonts w:ascii="Arial" w:hAnsi="Arial" w:eastAsia="Arial" w:cs="Arial"/>
      <w:b/>
      <w:bCs/>
      <w:sz w:val="24"/>
    </w:rPr>
  </w:style>
  <w:style w:type="character" w:styleId="831" w:customStyle="1">
    <w:name w:val="Heading 5 Char"/>
    <w:basedOn w:val="757"/>
    <w:link w:val="830"/>
    <w:uiPriority w:val="9"/>
    <w:qFormat/>
    <w:rPr>
      <w:rFonts w:ascii="Arial" w:hAnsi="Arial" w:eastAsia="Arial" w:cs="Arial"/>
      <w:b/>
      <w:bCs/>
      <w:sz w:val="24"/>
      <w:szCs w:val="24"/>
    </w:rPr>
  </w:style>
  <w:style w:type="paragraph" w:styleId="832" w:customStyle="1">
    <w:name w:val="标题 61"/>
    <w:basedOn w:val="747"/>
    <w:next w:val="747"/>
    <w:link w:val="833"/>
    <w:uiPriority w:val="9"/>
    <w:unhideWhenUsed/>
    <w:qFormat/>
    <w:pPr>
      <w:keepLines/>
      <w:keepNext/>
      <w:spacing w:before="320" w:after="200"/>
      <w:outlineLvl w:val="5"/>
    </w:pPr>
    <w:rPr>
      <w:rFonts w:ascii="Arial" w:hAnsi="Arial" w:eastAsia="Arial" w:cs="Arial"/>
      <w:b/>
      <w:bCs/>
      <w:sz w:val="22"/>
      <w:szCs w:val="22"/>
    </w:rPr>
  </w:style>
  <w:style w:type="character" w:styleId="833" w:customStyle="1">
    <w:name w:val="Heading 6 Char"/>
    <w:basedOn w:val="757"/>
    <w:link w:val="832"/>
    <w:uiPriority w:val="9"/>
    <w:qFormat/>
    <w:rPr>
      <w:rFonts w:ascii="Arial" w:hAnsi="Arial" w:eastAsia="Arial" w:cs="Arial"/>
      <w:b/>
      <w:bCs/>
      <w:sz w:val="22"/>
      <w:szCs w:val="22"/>
    </w:rPr>
  </w:style>
  <w:style w:type="paragraph" w:styleId="834" w:customStyle="1">
    <w:name w:val="标题 71"/>
    <w:basedOn w:val="747"/>
    <w:next w:val="747"/>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customStyle="1">
    <w:name w:val="Heading 7 Char"/>
    <w:basedOn w:val="757"/>
    <w:link w:val="834"/>
    <w:uiPriority w:val="9"/>
    <w:qFormat/>
    <w:rPr>
      <w:rFonts w:ascii="Arial" w:hAnsi="Arial" w:eastAsia="Arial" w:cs="Arial"/>
      <w:b/>
      <w:bCs/>
      <w:i/>
      <w:iCs/>
      <w:sz w:val="22"/>
      <w:szCs w:val="22"/>
    </w:rPr>
  </w:style>
  <w:style w:type="paragraph" w:styleId="836" w:customStyle="1">
    <w:name w:val="标题 81"/>
    <w:basedOn w:val="747"/>
    <w:next w:val="747"/>
    <w:link w:val="837"/>
    <w:uiPriority w:val="9"/>
    <w:unhideWhenUsed/>
    <w:qFormat/>
    <w:pPr>
      <w:keepLines/>
      <w:keepNext/>
      <w:spacing w:before="320" w:after="200"/>
      <w:outlineLvl w:val="7"/>
    </w:pPr>
    <w:rPr>
      <w:rFonts w:ascii="Arial" w:hAnsi="Arial" w:eastAsia="Arial" w:cs="Arial"/>
      <w:i/>
      <w:iCs/>
      <w:sz w:val="22"/>
      <w:szCs w:val="22"/>
    </w:rPr>
  </w:style>
  <w:style w:type="character" w:styleId="837" w:customStyle="1">
    <w:name w:val="Heading 8 Char"/>
    <w:basedOn w:val="757"/>
    <w:link w:val="836"/>
    <w:uiPriority w:val="9"/>
    <w:qFormat/>
    <w:rPr>
      <w:rFonts w:ascii="Arial" w:hAnsi="Arial" w:eastAsia="Arial" w:cs="Arial"/>
      <w:i/>
      <w:iCs/>
      <w:sz w:val="22"/>
      <w:szCs w:val="22"/>
    </w:rPr>
  </w:style>
  <w:style w:type="paragraph" w:styleId="838" w:customStyle="1">
    <w:name w:val="标题 91"/>
    <w:basedOn w:val="747"/>
    <w:next w:val="747"/>
    <w:link w:val="839"/>
    <w:uiPriority w:val="9"/>
    <w:unhideWhenUsed/>
    <w:qFormat/>
    <w:pPr>
      <w:keepLines/>
      <w:keepNext/>
      <w:spacing w:before="320" w:after="200"/>
      <w:outlineLvl w:val="8"/>
    </w:pPr>
    <w:rPr>
      <w:rFonts w:ascii="Arial" w:hAnsi="Arial" w:eastAsia="Arial" w:cs="Arial"/>
      <w:i/>
      <w:iCs/>
      <w:szCs w:val="21"/>
    </w:rPr>
  </w:style>
  <w:style w:type="character" w:styleId="839" w:customStyle="1">
    <w:name w:val="Heading 9 Char"/>
    <w:basedOn w:val="757"/>
    <w:link w:val="838"/>
    <w:uiPriority w:val="9"/>
    <w:qFormat/>
    <w:rPr>
      <w:rFonts w:ascii="Arial" w:hAnsi="Arial" w:eastAsia="Arial" w:cs="Arial"/>
      <w:i/>
      <w:iCs/>
      <w:sz w:val="21"/>
      <w:szCs w:val="21"/>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basedOn w:val="757"/>
    <w:link w:val="788"/>
    <w:uiPriority w:val="10"/>
    <w:qFormat/>
    <w:rPr>
      <w:sz w:val="48"/>
      <w:szCs w:val="48"/>
    </w:rPr>
  </w:style>
  <w:style w:type="character" w:styleId="842" w:customStyle="1">
    <w:name w:val="副标题 字符"/>
    <w:basedOn w:val="757"/>
    <w:link w:val="779"/>
    <w:uiPriority w:val="11"/>
    <w:qFormat/>
    <w:rPr>
      <w:sz w:val="24"/>
      <w:szCs w:val="24"/>
    </w:rPr>
  </w:style>
  <w:style w:type="paragraph" w:styleId="843">
    <w:name w:val="Quote"/>
    <w:basedOn w:val="747"/>
    <w:next w:val="747"/>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47"/>
    <w:next w:val="747"/>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basedOn w:val="757"/>
    <w:uiPriority w:val="99"/>
    <w:qFormat/>
  </w:style>
  <w:style w:type="character" w:styleId="848" w:customStyle="1">
    <w:name w:val="Footer Char"/>
    <w:basedOn w:val="757"/>
    <w:uiPriority w:val="99"/>
    <w:qFormat/>
  </w:style>
  <w:style w:type="paragraph" w:styleId="849" w:customStyle="1">
    <w:name w:val="题注1"/>
    <w:basedOn w:val="747"/>
    <w:next w:val="747"/>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50" w:customStyle="1">
    <w:name w:val="Caption Char"/>
    <w:uiPriority w:val="99"/>
    <w:qFormat/>
  </w:style>
  <w:style w:type="table" w:styleId="851"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2"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75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75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75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7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7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7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75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0" w:customStyle="1">
    <w:name w:val="Grid Table 4 - Accent 2"/>
    <w:basedOn w:val="7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7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75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75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4" w:customStyle="1">
    <w:name w:val="Grid Table 4 - Accent 6"/>
    <w:basedOn w:val="7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7"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8"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9"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0"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1"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2"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75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6" w:customStyle="1">
    <w:name w:val="Grid Table 6 Colorful - Accent 4"/>
    <w:basedOn w:val="7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5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8" w:customStyle="1">
    <w:name w:val="Grid Table 6 Colorful - Accent 6"/>
    <w:basedOn w:val="7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9"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75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5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5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5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basedOn w:val="7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75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5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5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5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5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5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75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5" w:customStyle="1">
    <w:name w:val="List Table 2 - Accent 2"/>
    <w:basedOn w:val="7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7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75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75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9" w:customStyle="1">
    <w:name w:val="List Table 2 - Accent 6"/>
    <w:basedOn w:val="7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75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3 - Accent 2"/>
    <w:basedOn w:val="7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5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5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5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75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75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5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5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5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75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75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75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75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75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75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75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basedOn w:val="7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75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3" w:customStyle="1">
    <w:name w:val="List Table 6 Colorful - Accent 2"/>
    <w:basedOn w:val="75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75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75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75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7" w:customStyle="1">
    <w:name w:val="List Table 6 Colorful - Accent 6"/>
    <w:basedOn w:val="75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清单表 7 彩色1"/>
    <w:basedOn w:val="7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75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5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5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5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5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5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7" w:customStyle="1">
    <w:name w:val="Lined - Accent 2"/>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1" w:customStyle="1">
    <w:name w:val="Lined - Accent 6"/>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5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Bordered &amp; Lined - Accent 2"/>
    <w:basedOn w:val="75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75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75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75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Bordered &amp; Lined - Accent 6"/>
    <w:basedOn w:val="75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1" w:customStyle="1">
    <w:name w:val="Bordered - Accent 2"/>
    <w:basedOn w:val="7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7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7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7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5" w:customStyle="1">
    <w:name w:val="Bordered - Accent 6"/>
    <w:basedOn w:val="7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脚注文本 字符"/>
    <w:link w:val="780"/>
    <w:uiPriority w:val="99"/>
    <w:qFormat/>
    <w:rPr>
      <w:sz w:val="18"/>
    </w:rPr>
  </w:style>
  <w:style w:type="character" w:styleId="977" w:customStyle="1">
    <w:name w:val="尾注文本 字符"/>
    <w:link w:val="773"/>
    <w:uiPriority w:val="99"/>
    <w:qFormat/>
    <w:rPr>
      <w:sz w:val="20"/>
    </w:r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paragraph" w:styleId="979" w:customStyle="1">
    <w:name w:val="标题 11"/>
    <w:basedOn w:val="747"/>
    <w:next w:val="747"/>
    <w:link w:val="992"/>
    <w:uiPriority w:val="0"/>
    <w:qFormat/>
    <w:pPr>
      <w:keepLines/>
      <w:keepNext/>
      <w:spacing w:before="340" w:after="330" w:line="578" w:lineRule="auto"/>
      <w:outlineLvl w:val="0"/>
    </w:pPr>
    <w:rPr>
      <w:b/>
      <w:bCs/>
      <w:sz w:val="44"/>
      <w:szCs w:val="44"/>
    </w:rPr>
  </w:style>
  <w:style w:type="paragraph" w:styleId="980" w:customStyle="1">
    <w:name w:val="页脚1"/>
    <w:basedOn w:val="747"/>
    <w:link w:val="983"/>
    <w:uiPriority w:val="0"/>
    <w:qFormat/>
    <w:pPr>
      <w:jc w:val="left"/>
      <w:tabs>
        <w:tab w:val="center" w:pos="4153" w:leader="none"/>
        <w:tab w:val="right" w:pos="8306" w:leader="none"/>
      </w:tabs>
    </w:pPr>
    <w:rPr>
      <w:sz w:val="18"/>
      <w:szCs w:val="18"/>
    </w:rPr>
  </w:style>
  <w:style w:type="paragraph" w:styleId="981" w:customStyle="1">
    <w:name w:val="页眉1"/>
    <w:basedOn w:val="747"/>
    <w:link w:val="982"/>
    <w:uiPriority w:val="0"/>
    <w:qFormat/>
    <w:pPr>
      <w:jc w:val="center"/>
      <w:tabs>
        <w:tab w:val="center" w:pos="4153" w:leader="none"/>
        <w:tab w:val="right" w:pos="8306" w:leader="none"/>
      </w:tabs>
      <w:pBdr>
        <w:bottom w:val="single" w:color="auto" w:sz="6" w:space="1"/>
      </w:pBdr>
    </w:pPr>
    <w:rPr>
      <w:sz w:val="18"/>
      <w:szCs w:val="18"/>
    </w:rPr>
  </w:style>
  <w:style w:type="character" w:styleId="982" w:customStyle="1">
    <w:name w:val="页眉 Char"/>
    <w:basedOn w:val="757"/>
    <w:link w:val="981"/>
    <w:uiPriority w:val="0"/>
    <w:qFormat/>
    <w:rPr>
      <w:rFonts w:asciiTheme="minorHAnsi" w:hAnsiTheme="minorHAnsi" w:eastAsiaTheme="minorEastAsia" w:cstheme="minorBidi"/>
      <w:sz w:val="18"/>
      <w:szCs w:val="18"/>
    </w:rPr>
  </w:style>
  <w:style w:type="character" w:styleId="983" w:customStyle="1">
    <w:name w:val="页脚 Char"/>
    <w:basedOn w:val="757"/>
    <w:link w:val="980"/>
    <w:uiPriority w:val="0"/>
    <w:qFormat/>
    <w:rPr>
      <w:rFonts w:asciiTheme="minorHAnsi" w:hAnsiTheme="minorHAnsi" w:eastAsiaTheme="minorEastAsia" w:cstheme="minorBidi"/>
      <w:sz w:val="18"/>
      <w:szCs w:val="18"/>
    </w:rPr>
  </w:style>
  <w:style w:type="paragraph" w:styleId="984" w:customStyle="1">
    <w:name w:val="普通正文"/>
    <w:basedOn w:val="747"/>
    <w:link w:val="999"/>
    <w:uiPriority w:val="0"/>
    <w:qFormat/>
    <w:pPr>
      <w:ind w:firstLine="480"/>
      <w:jc w:val="left"/>
      <w:spacing w:before="120" w:after="120" w:line="360" w:lineRule="auto"/>
    </w:pPr>
    <w:rPr>
      <w:rFonts w:ascii="Arial" w:hAnsi="Arial" w:eastAsia="等线" w:cs="Arial"/>
      <w:sz w:val="24"/>
    </w:rPr>
  </w:style>
  <w:style w:type="character" w:styleId="985" w:customStyle="1">
    <w:name w:val="正文缩进 字符"/>
    <w:link w:val="760"/>
    <w:uiPriority w:val="0"/>
    <w:qFormat/>
    <w:rPr>
      <w:rFonts w:eastAsia="楷体_GB2312"/>
      <w:sz w:val="24"/>
    </w:rPr>
  </w:style>
  <w:style w:type="character" w:styleId="986" w:customStyle="1">
    <w:name w:val="正文文本 字符"/>
    <w:basedOn w:val="757"/>
    <w:link w:val="764"/>
    <w:uiPriority w:val="0"/>
    <w:qFormat/>
    <w:rPr>
      <w:sz w:val="21"/>
    </w:rPr>
  </w:style>
  <w:style w:type="paragraph" w:styleId="987" w:customStyle="1">
    <w:name w:val="Default"/>
    <w:basedOn w:val="747"/>
    <w:uiPriority w:val="0"/>
    <w:semiHidden/>
    <w:qFormat/>
    <w:pPr>
      <w:jc w:val="left"/>
    </w:pPr>
    <w:rPr>
      <w:rFonts w:ascii="宋体" w:hAnsi="Calibri" w:cs="宋体"/>
      <w:color w:val="000000"/>
      <w:sz w:val="24"/>
    </w:rPr>
  </w:style>
  <w:style w:type="paragraph" w:styleId="988">
    <w:name w:val="List Paragraph"/>
    <w:basedOn w:val="747"/>
    <w:uiPriority w:val="34"/>
    <w:qFormat/>
    <w:pPr>
      <w:ind w:firstLine="420"/>
    </w:pPr>
  </w:style>
  <w:style w:type="character" w:styleId="989" w:customStyle="1">
    <w:name w:val="正文文本缩进 2 字符"/>
    <w:basedOn w:val="757"/>
    <w:link w:val="772"/>
    <w:uiPriority w:val="0"/>
    <w:qFormat/>
    <w:rPr>
      <w:rFonts w:asciiTheme="minorHAnsi" w:hAnsiTheme="minorHAnsi" w:eastAsiaTheme="minorEastAsia" w:cstheme="minorBidi"/>
      <w:sz w:val="21"/>
      <w:szCs w:val="24"/>
    </w:rPr>
  </w:style>
  <w:style w:type="paragraph" w:styleId="990" w:customStyle="1">
    <w:name w:val="表格正文居中"/>
    <w:basedOn w:val="747"/>
    <w:uiPriority w:val="0"/>
    <w:qFormat/>
    <w:pPr>
      <w:jc w:val="center"/>
      <w:spacing w:line="360" w:lineRule="exact"/>
    </w:pPr>
    <w:rPr>
      <w:rFonts w:cs="Times New Roman"/>
      <w:szCs w:val="21"/>
    </w:rPr>
  </w:style>
  <w:style w:type="character" w:styleId="991" w:customStyle="1">
    <w:name w:val="正文文本缩进 3 字符"/>
    <w:basedOn w:val="757"/>
    <w:link w:val="782"/>
    <w:uiPriority w:val="0"/>
    <w:qFormat/>
    <w:rPr>
      <w:rFonts w:asciiTheme="minorHAnsi" w:hAnsiTheme="minorHAnsi" w:eastAsiaTheme="minorEastAsia" w:cstheme="minorBidi"/>
      <w:sz w:val="16"/>
      <w:szCs w:val="16"/>
    </w:rPr>
  </w:style>
  <w:style w:type="character" w:styleId="992" w:customStyle="1">
    <w:name w:val="标题 1 Char"/>
    <w:basedOn w:val="757"/>
    <w:link w:val="979"/>
    <w:uiPriority w:val="0"/>
    <w:qFormat/>
    <w:rPr>
      <w:rFonts w:asciiTheme="minorHAnsi" w:hAnsiTheme="minorHAnsi" w:eastAsiaTheme="minorEastAsia" w:cstheme="minorBidi"/>
      <w:b/>
      <w:bCs/>
      <w:sz w:val="44"/>
      <w:szCs w:val="44"/>
    </w:rPr>
  </w:style>
  <w:style w:type="character" w:styleId="993" w:customStyle="1">
    <w:name w:val="正文文本缩进 字符"/>
    <w:basedOn w:val="757"/>
    <w:link w:val="766"/>
    <w:uiPriority w:val="0"/>
    <w:qFormat/>
    <w:rPr>
      <w:rFonts w:asciiTheme="minorHAnsi" w:hAnsiTheme="minorHAnsi" w:eastAsiaTheme="minorEastAsia" w:cstheme="minorBidi"/>
      <w:sz w:val="21"/>
      <w:szCs w:val="24"/>
    </w:rPr>
  </w:style>
  <w:style w:type="character" w:styleId="994" w:customStyle="1">
    <w:name w:val="正文文本首行缩进 2 字符"/>
    <w:basedOn w:val="993"/>
    <w:link w:val="790"/>
    <w:uiPriority w:val="0"/>
    <w:qFormat/>
    <w:rPr>
      <w:rFonts w:asciiTheme="minorHAnsi" w:hAnsiTheme="minorHAnsi" w:eastAsiaTheme="minorEastAsia" w:cstheme="minorBidi"/>
      <w:sz w:val="21"/>
      <w:szCs w:val="24"/>
    </w:rPr>
  </w:style>
  <w:style w:type="paragraph" w:styleId="995" w:customStyle="1">
    <w:name w:val="表格正文"/>
    <w:basedOn w:val="747"/>
    <w:next w:val="747"/>
    <w:uiPriority w:val="0"/>
    <w:qFormat/>
    <w:pPr>
      <w:jc w:val="left"/>
      <w:spacing w:line="440" w:lineRule="exact"/>
    </w:pPr>
    <w:rPr>
      <w:rFonts w:cs="Times New Roman"/>
      <w:szCs w:val="21"/>
    </w:rPr>
  </w:style>
  <w:style w:type="paragraph" w:styleId="996" w:customStyle="1">
    <w:name w:val="普通(网站)1"/>
    <w:basedOn w:val="747"/>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97" w:customStyle="1">
    <w:name w:val="普通(网站)11"/>
    <w:basedOn w:val="747"/>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998" w:customStyle="1">
    <w:name w:val="日期 字符"/>
    <w:basedOn w:val="757"/>
    <w:link w:val="771"/>
    <w:uiPriority w:val="0"/>
    <w:qFormat/>
    <w:rPr>
      <w:rFonts w:asciiTheme="minorHAnsi" w:hAnsiTheme="minorHAnsi" w:eastAsiaTheme="minorEastAsia" w:cstheme="minorBidi"/>
      <w:sz w:val="21"/>
      <w:szCs w:val="24"/>
    </w:rPr>
  </w:style>
  <w:style w:type="character" w:styleId="999" w:customStyle="1">
    <w:name w:val="普通正文 Char"/>
    <w:link w:val="984"/>
    <w:uiPriority w:val="0"/>
    <w:qFormat/>
    <w:rPr>
      <w:rFonts w:ascii="Arial" w:hAnsi="Arial" w:eastAsia="等线" w:cs="Arial"/>
      <w:sz w:val="24"/>
      <w:szCs w:val="24"/>
    </w:rPr>
  </w:style>
  <w:style w:type="character" w:styleId="1000" w:customStyle="1">
    <w:name w:val="批注框文本 字符"/>
    <w:basedOn w:val="757"/>
    <w:link w:val="774"/>
    <w:uiPriority w:val="0"/>
    <w:qFormat/>
    <w:rPr>
      <w:rFonts w:asciiTheme="minorHAnsi" w:hAnsiTheme="minorHAnsi" w:eastAsiaTheme="minorEastAsia" w:cstheme="minorBidi"/>
      <w:sz w:val="18"/>
      <w:szCs w:val="18"/>
    </w:rPr>
  </w:style>
  <w:style w:type="paragraph" w:styleId="1001" w:customStyle="1">
    <w:name w:val="Header1"/>
    <w:basedOn w:val="747"/>
    <w:link w:val="100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02" w:customStyle="1">
    <w:name w:val="页眉 Char1"/>
    <w:basedOn w:val="757"/>
    <w:link w:val="1001"/>
    <w:uiPriority w:val="99"/>
    <w:semiHidden/>
    <w:qFormat/>
    <w:rPr>
      <w:rFonts w:asciiTheme="minorHAnsi" w:hAnsiTheme="minorHAnsi" w:eastAsiaTheme="minorEastAsia" w:cstheme="minorBidi"/>
      <w:sz w:val="18"/>
      <w:szCs w:val="18"/>
    </w:rPr>
  </w:style>
  <w:style w:type="paragraph" w:styleId="1003" w:customStyle="1">
    <w:name w:val="Footer1"/>
    <w:basedOn w:val="747"/>
    <w:link w:val="1004"/>
    <w:uiPriority w:val="99"/>
    <w:semiHidden/>
    <w:unhideWhenUsed/>
    <w:qFormat/>
    <w:pPr>
      <w:jc w:val="left"/>
      <w:tabs>
        <w:tab w:val="center" w:pos="4153" w:leader="none"/>
        <w:tab w:val="right" w:pos="8306" w:leader="none"/>
      </w:tabs>
    </w:pPr>
    <w:rPr>
      <w:sz w:val="18"/>
      <w:szCs w:val="18"/>
    </w:rPr>
  </w:style>
  <w:style w:type="character" w:styleId="1004" w:customStyle="1">
    <w:name w:val="页脚 Char1"/>
    <w:basedOn w:val="757"/>
    <w:link w:val="1003"/>
    <w:uiPriority w:val="99"/>
    <w:semiHidden/>
    <w:qFormat/>
    <w:rPr>
      <w:rFonts w:asciiTheme="minorHAnsi" w:hAnsiTheme="minorHAnsi" w:eastAsiaTheme="minorEastAsia" w:cstheme="minorBidi"/>
      <w:sz w:val="18"/>
      <w:szCs w:val="18"/>
    </w:rPr>
  </w:style>
  <w:style w:type="paragraph" w:styleId="1005" w:customStyle="1">
    <w:name w:val="正文文本1"/>
    <w:basedOn w:val="747"/>
    <w:next w:val="747"/>
    <w:uiPriority w:val="0"/>
    <w:unhideWhenUsed/>
    <w:qFormat/>
    <w:pPr>
      <w:spacing w:after="120"/>
    </w:pPr>
    <w:rPr>
      <w:rFonts w:ascii="Calibri" w:hAnsi="Calibri"/>
      <w:szCs w:val="22"/>
    </w:rPr>
  </w:style>
  <w:style w:type="character" w:styleId="1006" w:customStyle="1">
    <w:name w:val="font31"/>
    <w:basedOn w:val="757"/>
    <w:uiPriority w:val="0"/>
    <w:qFormat/>
    <w:rPr>
      <w:rFonts w:hint="eastAsia" w:ascii="宋体" w:hAnsi="宋体" w:eastAsia="宋体" w:cs="宋体"/>
      <w:color w:val="000000"/>
      <w:sz w:val="20"/>
      <w:szCs w:val="20"/>
      <w:u w:val="none"/>
    </w:rPr>
  </w:style>
  <w:style w:type="character" w:styleId="1007" w:customStyle="1">
    <w:name w:val="font41"/>
    <w:basedOn w:val="757"/>
    <w:uiPriority w:val="0"/>
    <w:qFormat/>
    <w:rPr>
      <w:rFonts w:hint="eastAsia" w:ascii="宋体" w:hAnsi="宋体" w:eastAsia="宋体" w:cs="宋体"/>
      <w:b/>
      <w:bCs/>
      <w:color w:val="ff0000"/>
      <w:sz w:val="20"/>
      <w:szCs w:val="20"/>
      <w:u w:val="none"/>
    </w:rPr>
  </w:style>
  <w:style w:type="character" w:styleId="1008" w:customStyle="1">
    <w:name w:val="页眉 字符"/>
    <w:basedOn w:val="757"/>
    <w:link w:val="776"/>
    <w:uiPriority w:val="99"/>
    <w:qFormat/>
    <w:rPr>
      <w:rFonts w:asciiTheme="minorHAnsi" w:hAnsiTheme="minorHAnsi" w:eastAsiaTheme="minorEastAsia" w:cstheme="minorBidi"/>
      <w:sz w:val="18"/>
      <w:szCs w:val="18"/>
    </w:rPr>
  </w:style>
  <w:style w:type="character" w:styleId="1009" w:customStyle="1">
    <w:name w:val="页脚 字符"/>
    <w:basedOn w:val="757"/>
    <w:link w:val="775"/>
    <w:uiPriority w:val="99"/>
    <w:qFormat/>
    <w:rPr>
      <w:rFonts w:asciiTheme="minorHAnsi" w:hAnsiTheme="minorHAnsi" w:eastAsiaTheme="minorEastAsia" w:cstheme="minorBidi"/>
      <w:sz w:val="18"/>
      <w:szCs w:val="18"/>
    </w:rPr>
  </w:style>
  <w:style w:type="paragraph" w:styleId="1010" w:customStyle="1">
    <w:name w:val="Table Paragraph"/>
    <w:basedOn w:val="747"/>
    <w:uiPriority w:val="1"/>
    <w:qFormat/>
    <w:pPr>
      <w:jc w:val="left"/>
    </w:pPr>
    <w:rPr>
      <w:rFonts w:ascii="Calibri" w:hAnsi="Calibri" w:eastAsia="宋体" w:cs="Calibri"/>
      <w:sz w:val="22"/>
      <w:szCs w:val="22"/>
      <w:lang w:eastAsia="en-US"/>
    </w:rPr>
  </w:style>
  <w:style w:type="character" w:styleId="1011" w:customStyle="1">
    <w:name w:val="标题 1 字符"/>
    <w:basedOn w:val="757"/>
    <w:link w:val="748"/>
    <w:uiPriority w:val="9"/>
    <w:qFormat/>
    <w:rPr>
      <w:rFonts w:asciiTheme="minorHAnsi" w:hAnsiTheme="minorHAnsi" w:eastAsiaTheme="minorEastAsia" w:cstheme="minorBidi"/>
      <w:b/>
      <w:bCs/>
      <w:sz w:val="44"/>
      <w:szCs w:val="44"/>
    </w:rPr>
  </w:style>
  <w:style w:type="paragraph" w:styleId="1012" w:customStyle="1">
    <w:name w:val="TOC 标题2"/>
    <w:basedOn w:val="748"/>
    <w:next w:val="747"/>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013" w:customStyle="1">
    <w:name w:val="网格型1"/>
    <w:basedOn w:val="1014"/>
    <w:uiPriority w:val="0"/>
    <w:qFormat/>
    <w:pPr>
      <w:jc w:val="both"/>
      <w:widowControl w:val="off"/>
    </w:pPr>
    <w:tblPr/>
  </w:style>
  <w:style w:type="table" w:styleId="1014" w:customStyle="1">
    <w:name w:val="普通表格1"/>
    <w:uiPriority w:val="99"/>
    <w:unhideWhenUsed/>
    <w:qFormat/>
    <w:tblPr>
      <w:tblCellMar>
        <w:left w:w="0" w:type="dxa"/>
        <w:top w:w="0" w:type="dxa"/>
        <w:right w:w="0" w:type="dxa"/>
        <w:bottom w:w="0" w:type="dxa"/>
      </w:tblCellMar>
    </w:tblPr>
  </w:style>
  <w:style w:type="character" w:styleId="1015" w:customStyle="1">
    <w:name w:val="font51"/>
    <w:basedOn w:val="757"/>
    <w:uiPriority w:val="0"/>
    <w:qFormat/>
    <w:rPr>
      <w:rFonts w:hint="eastAsia" w:ascii="宋体" w:hAnsi="宋体" w:eastAsia="宋体" w:cs="宋体"/>
      <w:color w:val="ff0000"/>
      <w:sz w:val="20"/>
      <w:szCs w:val="20"/>
      <w:u w:val="none"/>
    </w:rPr>
  </w:style>
  <w:style w:type="character" w:styleId="1016" w:customStyle="1">
    <w:name w:val="纯文本 字符"/>
    <w:basedOn w:val="757"/>
    <w:link w:val="769"/>
    <w:uiPriority w:val="0"/>
    <w:qFormat/>
    <w:rPr>
      <w:rFonts w:ascii="宋体" w:hAnsi="Courier New" w:cs="Courier New"/>
      <w:sz w:val="21"/>
      <w:szCs w:val="21"/>
    </w:rPr>
  </w:style>
  <w:style w:type="character" w:styleId="1017" w:customStyle="1">
    <w:name w:val="批注文字 字符"/>
    <w:basedOn w:val="757"/>
    <w:link w:val="763"/>
    <w:uiPriority w:val="0"/>
    <w:qFormat/>
    <w:rPr>
      <w:rFonts w:asciiTheme="minorHAnsi" w:hAnsiTheme="minorHAnsi" w:eastAsiaTheme="minorEastAsia" w:cstheme="minorBidi"/>
      <w:sz w:val="21"/>
      <w:szCs w:val="24"/>
    </w:rPr>
  </w:style>
  <w:style w:type="paragraph" w:styleId="1018" w:customStyle="1">
    <w:name w:val="正文文本缩进11"/>
    <w:basedOn w:val="747"/>
    <w:next w:val="747"/>
    <w:uiPriority w:val="0"/>
    <w:qFormat/>
    <w:pPr>
      <w:ind w:left="420"/>
      <w:spacing w:after="120"/>
    </w:pPr>
  </w:style>
  <w:style w:type="character" w:styleId="1019" w:customStyle="1">
    <w:name w:val="font21"/>
    <w:uiPriority w:val="0"/>
    <w:qFormat/>
    <w:rPr>
      <w:rFonts w:asciiTheme="minorHAnsi" w:hAnsiTheme="minorHAnsi" w:eastAsiaTheme="minorEastAsia" w:cstheme="minorBidi"/>
      <w:sz w:val="21"/>
      <w:szCs w:val="24"/>
      <w:lang w:val="en-US" w:eastAsia="zh-CN" w:bidi="ar-SA"/>
    </w:rPr>
  </w:style>
  <w:style w:type="paragraph" w:styleId="1020"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1021" w:customStyle="1">
    <w:name w:val="页眉12"/>
    <w:basedOn w:val="747"/>
    <w:uiPriority w:val="0"/>
    <w:qFormat/>
    <w:pPr>
      <w:jc w:val="center"/>
      <w:tabs>
        <w:tab w:val="center" w:pos="4153" w:leader="none"/>
        <w:tab w:val="right" w:pos="8306" w:leader="none"/>
      </w:tabs>
      <w:pBdr>
        <w:bottom w:val="single" w:color="000000" w:sz="6" w:space="1"/>
      </w:pBdr>
    </w:pPr>
    <w:rPr>
      <w:sz w:val="18"/>
      <w:szCs w:val="18"/>
    </w:rPr>
  </w:style>
  <w:style w:type="paragraph" w:styleId="1022" w:customStyle="1">
    <w:name w:val="样式 FC正文 + 首行缩进:  2 字符 段前: 0.5 行 段后: 0.5 行"/>
    <w:basedOn w:val="1023"/>
    <w:uiPriority w:val="0"/>
    <w:qFormat/>
    <w:pPr>
      <w:ind w:firstLine="480"/>
      <w:spacing w:before="120" w:after="120"/>
    </w:pPr>
    <w:rPr>
      <w:rFonts w:cs="宋体"/>
      <w:szCs w:val="20"/>
    </w:rPr>
  </w:style>
  <w:style w:type="paragraph" w:styleId="1023" w:customStyle="1">
    <w:name w:val="FC正文"/>
    <w:basedOn w:val="747"/>
    <w:uiPriority w:val="0"/>
    <w:qFormat/>
    <w:pPr>
      <w:contextualSpacing/>
      <w:ind w:firstLine="200"/>
      <w:spacing w:line="360" w:lineRule="auto"/>
    </w:pPr>
    <w:rPr>
      <w:rFonts w:asciiTheme="minorEastAsia" w:hAnsiTheme="minorEastAsia" w:cstheme="minorEastAsia"/>
      <w:sz w:val="24"/>
    </w:rPr>
  </w:style>
  <w:style w:type="character" w:styleId="1024" w:customStyle="1">
    <w:name w:val="文档结构图 字符"/>
    <w:basedOn w:val="757"/>
    <w:link w:val="762"/>
    <w:uiPriority w:val="99"/>
    <w:semiHidden/>
    <w:qFormat/>
    <w:rPr>
      <w:rFonts w:ascii="宋体" w:hAnsiTheme="minorHAnsi" w:cstheme="minorBidi"/>
      <w:sz w:val="18"/>
      <w:szCs w:val="18"/>
    </w:rPr>
  </w:style>
  <w:style w:type="paragraph" w:styleId="1025" w:customStyle="1">
    <w:name w:val="正文1"/>
    <w:uiPriority w:val="0"/>
    <w:qFormat/>
    <w:rPr>
      <w:rFonts w:hint="default" w:ascii="Helvetica" w:hAnsi="Helvetica" w:eastAsia="Arial Unicode MS" w:cs="Arial Unicode MS"/>
      <w:color w:val="000000"/>
      <w:sz w:val="22"/>
      <w:szCs w:val="22"/>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emf"/><Relationship Id="rId22" Type="http://schemas.openxmlformats.org/officeDocument/2006/relationships/image" Target="media/image6.emf"/><Relationship Id="rId23" Type="http://schemas.openxmlformats.org/officeDocument/2006/relationships/image" Target="media/image7.emf"/><Relationship Id="rId24" Type="http://schemas.openxmlformats.org/officeDocument/2006/relationships/image" Target="media/image8.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937DD6-4821-4393-AF2C-F3281B486B0B}"/>
</file>

<file path=customXml/itemProps2.xml><?xml version="1.0" encoding="utf-8"?>
<ds:datastoreItem xmlns:ds="http://schemas.openxmlformats.org/officeDocument/2006/customXml" ds:itemID="{63315AE3-D656-477A-AE4F-2CC23A2D76F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刘彬彬</cp:lastModifiedBy>
  <cp:revision>21</cp:revision>
  <dcterms:created xsi:type="dcterms:W3CDTF">2025-09-08T03:06:00Z</dcterms:created>
  <dcterms:modified xsi:type="dcterms:W3CDTF">2025-12-10T09:18:14Z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6F1FF1B8F4C84118B9A0042A797D0ECA_13</vt:lpwstr>
  </property>
  <property fmtid="{D5CDD505-2E9C-101B-9397-08002B2CF9AE}" pid="4" name="KSOTemplateDocerSaveRecord">
    <vt:lpwstr>eyJoZGlkIjoiZjA2NGMyMjc3ZTQ1ZmVkYTUyZmU3MjhiZTRjNTE0ODMiLCJ1c2VySWQiOiIxNjcxMTcwOTI3In0=</vt:lpwstr>
  </property>
</Properties>
</file>